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4752" w14:textId="77777777" w:rsidR="007F5546" w:rsidRDefault="002D11AF">
      <w:pPr>
        <w:spacing w:before="10" w:after="193"/>
        <w:ind w:left="5625" w:right="13"/>
        <w:textAlignment w:val="baseline"/>
      </w:pPr>
      <w:r>
        <w:rPr>
          <w:noProof/>
        </w:rPr>
        <w:drawing>
          <wp:inline distT="0" distB="0" distL="0" distR="0" wp14:anchorId="3E97F0D1" wp14:editId="65FE668D">
            <wp:extent cx="2185670" cy="5638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2185670" cy="563880"/>
                    </a:xfrm>
                    <a:prstGeom prst="rect">
                      <a:avLst/>
                    </a:prstGeom>
                  </pic:spPr>
                </pic:pic>
              </a:graphicData>
            </a:graphic>
          </wp:inline>
        </w:drawing>
      </w:r>
    </w:p>
    <w:p w14:paraId="32321418" w14:textId="77777777" w:rsidR="007F5546" w:rsidRDefault="002D11AF">
      <w:pPr>
        <w:spacing w:before="81" w:after="830" w:line="806" w:lineRule="exact"/>
        <w:textAlignment w:val="baseline"/>
        <w:rPr>
          <w:rFonts w:ascii="Calibri" w:eastAsia="Calibri" w:hAnsi="Calibri"/>
          <w:b/>
          <w:color w:val="000000"/>
          <w:spacing w:val="7"/>
          <w:sz w:val="78"/>
        </w:rPr>
      </w:pPr>
      <w:r>
        <w:rPr>
          <w:rFonts w:ascii="Calibri" w:eastAsia="Calibri" w:hAnsi="Calibri"/>
          <w:b/>
          <w:color w:val="000000"/>
          <w:spacing w:val="7"/>
          <w:sz w:val="78"/>
        </w:rPr>
        <w:t>Top-up Funding Guidelines</w:t>
      </w:r>
    </w:p>
    <w:p w14:paraId="4639A792" w14:textId="77777777" w:rsidR="007F5546" w:rsidRDefault="002D11AF">
      <w:pPr>
        <w:tabs>
          <w:tab w:val="left" w:pos="720"/>
        </w:tabs>
        <w:spacing w:before="2" w:line="275" w:lineRule="exact"/>
        <w:textAlignment w:val="baseline"/>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SEN Funding for Schools</w:t>
      </w:r>
    </w:p>
    <w:p w14:paraId="2CDE777D" w14:textId="77777777" w:rsidR="007F5546" w:rsidRDefault="002D11AF">
      <w:pPr>
        <w:spacing w:before="321" w:line="317" w:lineRule="exact"/>
        <w:ind w:right="72"/>
        <w:textAlignment w:val="baseline"/>
        <w:rPr>
          <w:rFonts w:ascii="Arial" w:eastAsia="Arial" w:hAnsi="Arial"/>
          <w:color w:val="000000"/>
          <w:sz w:val="24"/>
        </w:rPr>
      </w:pPr>
      <w:r>
        <w:rPr>
          <w:rFonts w:ascii="Arial" w:eastAsia="Arial" w:hAnsi="Arial"/>
          <w:color w:val="000000"/>
          <w:sz w:val="24"/>
        </w:rPr>
        <w:t>The Local Authority receives money from central government each year to fund schools. This is called the Dedicated Schools Grant (DSG). The DSG is split into four blocks of ‘block’ funding:</w:t>
      </w:r>
    </w:p>
    <w:p w14:paraId="6D9ABC04" w14:textId="77777777" w:rsidR="007F5546" w:rsidRDefault="002D11AF">
      <w:pPr>
        <w:numPr>
          <w:ilvl w:val="0"/>
          <w:numId w:val="1"/>
        </w:numPr>
        <w:tabs>
          <w:tab w:val="clear" w:pos="360"/>
          <w:tab w:val="left" w:pos="720"/>
        </w:tabs>
        <w:spacing w:before="18" w:line="317" w:lineRule="exact"/>
        <w:ind w:left="720" w:hanging="360"/>
        <w:textAlignment w:val="baseline"/>
        <w:rPr>
          <w:rFonts w:ascii="Arial" w:eastAsia="Arial" w:hAnsi="Arial"/>
          <w:color w:val="000000"/>
          <w:sz w:val="24"/>
        </w:rPr>
      </w:pPr>
      <w:r>
        <w:rPr>
          <w:rFonts w:ascii="Arial" w:eastAsia="Arial" w:hAnsi="Arial"/>
          <w:color w:val="000000"/>
          <w:sz w:val="24"/>
        </w:rPr>
        <w:t>Early years block</w:t>
      </w:r>
    </w:p>
    <w:p w14:paraId="642BDBD7" w14:textId="77777777" w:rsidR="007F5546" w:rsidRDefault="002D11AF">
      <w:pPr>
        <w:numPr>
          <w:ilvl w:val="0"/>
          <w:numId w:val="1"/>
        </w:numPr>
        <w:tabs>
          <w:tab w:val="clear" w:pos="360"/>
          <w:tab w:val="left" w:pos="720"/>
        </w:tabs>
        <w:spacing w:before="14" w:line="317" w:lineRule="exact"/>
        <w:ind w:left="720" w:hanging="360"/>
        <w:textAlignment w:val="baseline"/>
        <w:rPr>
          <w:rFonts w:ascii="Arial" w:eastAsia="Arial" w:hAnsi="Arial"/>
          <w:color w:val="000000"/>
          <w:sz w:val="24"/>
        </w:rPr>
      </w:pPr>
      <w:r>
        <w:rPr>
          <w:rFonts w:ascii="Arial" w:eastAsia="Arial" w:hAnsi="Arial"/>
          <w:color w:val="000000"/>
          <w:sz w:val="24"/>
        </w:rPr>
        <w:t>Schools block</w:t>
      </w:r>
    </w:p>
    <w:p w14:paraId="019DA0A6" w14:textId="77777777" w:rsidR="007F5546" w:rsidRDefault="002D11AF">
      <w:pPr>
        <w:numPr>
          <w:ilvl w:val="0"/>
          <w:numId w:val="1"/>
        </w:numPr>
        <w:tabs>
          <w:tab w:val="clear" w:pos="360"/>
          <w:tab w:val="left" w:pos="720"/>
        </w:tabs>
        <w:spacing w:before="19" w:line="317" w:lineRule="exact"/>
        <w:ind w:left="720" w:hanging="360"/>
        <w:textAlignment w:val="baseline"/>
        <w:rPr>
          <w:rFonts w:ascii="Arial" w:eastAsia="Arial" w:hAnsi="Arial"/>
          <w:color w:val="000000"/>
          <w:sz w:val="24"/>
        </w:rPr>
      </w:pPr>
      <w:r>
        <w:rPr>
          <w:rFonts w:ascii="Arial" w:eastAsia="Arial" w:hAnsi="Arial"/>
          <w:color w:val="000000"/>
          <w:sz w:val="24"/>
        </w:rPr>
        <w:t>High needs block</w:t>
      </w:r>
    </w:p>
    <w:p w14:paraId="1728B61B" w14:textId="77777777" w:rsidR="007F5546" w:rsidRDefault="002D11AF">
      <w:pPr>
        <w:numPr>
          <w:ilvl w:val="0"/>
          <w:numId w:val="1"/>
        </w:numPr>
        <w:tabs>
          <w:tab w:val="clear" w:pos="360"/>
          <w:tab w:val="left" w:pos="720"/>
        </w:tabs>
        <w:spacing w:before="14" w:line="317" w:lineRule="exact"/>
        <w:ind w:left="720" w:hanging="360"/>
        <w:textAlignment w:val="baseline"/>
        <w:rPr>
          <w:rFonts w:ascii="Arial" w:eastAsia="Arial" w:hAnsi="Arial"/>
          <w:color w:val="000000"/>
          <w:sz w:val="24"/>
        </w:rPr>
      </w:pPr>
      <w:r>
        <w:rPr>
          <w:rFonts w:ascii="Arial" w:eastAsia="Arial" w:hAnsi="Arial"/>
          <w:color w:val="000000"/>
          <w:sz w:val="24"/>
        </w:rPr>
        <w:t>Central block</w:t>
      </w:r>
    </w:p>
    <w:p w14:paraId="0FDEED53" w14:textId="77777777" w:rsidR="007F5546" w:rsidRDefault="002D11AF">
      <w:pPr>
        <w:tabs>
          <w:tab w:val="left" w:pos="720"/>
        </w:tabs>
        <w:spacing w:before="676" w:line="275" w:lineRule="exact"/>
        <w:textAlignment w:val="baseline"/>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Schools Block</w:t>
      </w:r>
    </w:p>
    <w:p w14:paraId="76433B04" w14:textId="77777777" w:rsidR="007F5546" w:rsidRDefault="002D11AF">
      <w:pPr>
        <w:spacing w:before="42" w:line="274" w:lineRule="exact"/>
        <w:textAlignment w:val="baseline"/>
        <w:rPr>
          <w:rFonts w:ascii="Arial" w:eastAsia="Arial" w:hAnsi="Arial"/>
          <w:color w:val="000000"/>
          <w:sz w:val="24"/>
        </w:rPr>
      </w:pPr>
      <w:r>
        <w:rPr>
          <w:rFonts w:ascii="Arial" w:eastAsia="Arial" w:hAnsi="Arial"/>
          <w:color w:val="000000"/>
          <w:sz w:val="24"/>
        </w:rPr>
        <w:t>Schools block is the main budget for mainstream schools including academies. The</w:t>
      </w:r>
    </w:p>
    <w:p w14:paraId="0C3BF0F2" w14:textId="77777777" w:rsidR="007F5546" w:rsidRDefault="002D11AF">
      <w:pPr>
        <w:spacing w:before="48" w:line="274" w:lineRule="exact"/>
        <w:textAlignment w:val="baseline"/>
        <w:rPr>
          <w:rFonts w:ascii="Arial" w:eastAsia="Arial" w:hAnsi="Arial"/>
          <w:color w:val="000000"/>
          <w:sz w:val="24"/>
        </w:rPr>
      </w:pPr>
      <w:r>
        <w:rPr>
          <w:rFonts w:ascii="Arial" w:eastAsia="Arial" w:hAnsi="Arial"/>
          <w:color w:val="000000"/>
          <w:sz w:val="24"/>
        </w:rPr>
        <w:t>schools block is made up of:</w:t>
      </w:r>
    </w:p>
    <w:p w14:paraId="72971FBF" w14:textId="77777777" w:rsidR="007F5546" w:rsidRDefault="002D11AF">
      <w:pPr>
        <w:numPr>
          <w:ilvl w:val="0"/>
          <w:numId w:val="1"/>
        </w:numPr>
        <w:tabs>
          <w:tab w:val="clear" w:pos="360"/>
          <w:tab w:val="left" w:pos="720"/>
        </w:tabs>
        <w:spacing w:before="14" w:line="317" w:lineRule="exact"/>
        <w:ind w:left="720" w:right="144" w:hanging="360"/>
        <w:textAlignment w:val="baseline"/>
        <w:rPr>
          <w:rFonts w:ascii="Arial" w:eastAsia="Arial" w:hAnsi="Arial"/>
          <w:color w:val="000000"/>
          <w:sz w:val="24"/>
        </w:rPr>
      </w:pPr>
      <w:r>
        <w:rPr>
          <w:rFonts w:ascii="Arial" w:eastAsia="Arial" w:hAnsi="Arial"/>
          <w:color w:val="000000"/>
          <w:sz w:val="24"/>
        </w:rPr>
        <w:t>Element 1 – per pupil funding. This is used by individual schools to support all pupils. It includes those who have special educational needs.</w:t>
      </w:r>
    </w:p>
    <w:p w14:paraId="2AA9C631" w14:textId="77777777" w:rsidR="007F5546" w:rsidRDefault="002D11AF">
      <w:pPr>
        <w:numPr>
          <w:ilvl w:val="0"/>
          <w:numId w:val="1"/>
        </w:numPr>
        <w:tabs>
          <w:tab w:val="clear" w:pos="360"/>
          <w:tab w:val="left" w:pos="720"/>
        </w:tabs>
        <w:spacing w:before="18" w:line="317" w:lineRule="exact"/>
        <w:ind w:left="720" w:right="504" w:hanging="360"/>
        <w:textAlignment w:val="baseline"/>
        <w:rPr>
          <w:rFonts w:ascii="Arial" w:eastAsia="Arial" w:hAnsi="Arial"/>
          <w:color w:val="000000"/>
          <w:sz w:val="24"/>
        </w:rPr>
      </w:pPr>
      <w:r>
        <w:rPr>
          <w:rFonts w:ascii="Arial" w:eastAsia="Arial" w:hAnsi="Arial"/>
          <w:color w:val="000000"/>
          <w:sz w:val="24"/>
        </w:rPr>
        <w:t>Element 2 – SEN funding. This is for schools to spend directly on making special educational provision. Element 2 funding is often referred to as the SEN Notional Budget.</w:t>
      </w:r>
    </w:p>
    <w:p w14:paraId="4E251D8B" w14:textId="77777777" w:rsidR="007F5546" w:rsidRDefault="002D11AF">
      <w:pPr>
        <w:tabs>
          <w:tab w:val="left" w:pos="720"/>
        </w:tabs>
        <w:spacing w:before="674" w:line="282" w:lineRule="exact"/>
        <w:textAlignment w:val="baseline"/>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 xml:space="preserve">Element 2 </w:t>
      </w:r>
      <w:r>
        <w:rPr>
          <w:rFonts w:ascii="Arial" w:eastAsia="Arial" w:hAnsi="Arial"/>
          <w:b/>
          <w:color w:val="000000"/>
          <w:sz w:val="26"/>
        </w:rPr>
        <w:t xml:space="preserve">– </w:t>
      </w:r>
      <w:r>
        <w:rPr>
          <w:rFonts w:ascii="Arial" w:eastAsia="Arial" w:hAnsi="Arial"/>
          <w:b/>
          <w:color w:val="000000"/>
          <w:sz w:val="24"/>
        </w:rPr>
        <w:t>SEN funding (SEN notional budget)</w:t>
      </w:r>
    </w:p>
    <w:p w14:paraId="00EB2BE0" w14:textId="77777777" w:rsidR="007F5546" w:rsidRDefault="002D11AF">
      <w:pPr>
        <w:spacing w:before="38" w:line="274" w:lineRule="exact"/>
        <w:textAlignment w:val="baseline"/>
        <w:rPr>
          <w:rFonts w:ascii="Arial" w:eastAsia="Arial" w:hAnsi="Arial"/>
          <w:color w:val="000000"/>
          <w:sz w:val="24"/>
        </w:rPr>
      </w:pPr>
      <w:r>
        <w:rPr>
          <w:rFonts w:ascii="Arial" w:eastAsia="Arial" w:hAnsi="Arial"/>
          <w:color w:val="000000"/>
          <w:sz w:val="24"/>
        </w:rPr>
        <w:t>The SEN funding (element 2) for each school is calculated using a formula. This</w:t>
      </w:r>
    </w:p>
    <w:p w14:paraId="58FEE3B3" w14:textId="77777777" w:rsidR="007F5546" w:rsidRDefault="002D11AF">
      <w:pPr>
        <w:spacing w:before="42" w:line="275" w:lineRule="exact"/>
        <w:textAlignment w:val="baseline"/>
        <w:rPr>
          <w:rFonts w:ascii="Arial" w:eastAsia="Arial" w:hAnsi="Arial"/>
          <w:color w:val="000000"/>
          <w:sz w:val="24"/>
        </w:rPr>
      </w:pPr>
      <w:r>
        <w:rPr>
          <w:rFonts w:ascii="Arial" w:eastAsia="Arial" w:hAnsi="Arial"/>
          <w:color w:val="000000"/>
          <w:sz w:val="24"/>
        </w:rPr>
        <w:t xml:space="preserve">formula uses the following SEN ‘proxy </w:t>
      </w:r>
      <w:proofErr w:type="gramStart"/>
      <w:r>
        <w:rPr>
          <w:rFonts w:ascii="Arial" w:eastAsia="Arial" w:hAnsi="Arial"/>
          <w:color w:val="000000"/>
          <w:sz w:val="24"/>
        </w:rPr>
        <w:t>indicators’</w:t>
      </w:r>
      <w:proofErr w:type="gramEnd"/>
      <w:r>
        <w:rPr>
          <w:rFonts w:ascii="Arial" w:eastAsia="Arial" w:hAnsi="Arial"/>
          <w:color w:val="000000"/>
          <w:sz w:val="24"/>
        </w:rPr>
        <w:t>.</w:t>
      </w:r>
    </w:p>
    <w:p w14:paraId="45723421" w14:textId="77777777" w:rsidR="007F5546" w:rsidRDefault="002D11AF">
      <w:pPr>
        <w:numPr>
          <w:ilvl w:val="0"/>
          <w:numId w:val="1"/>
        </w:numPr>
        <w:tabs>
          <w:tab w:val="clear" w:pos="360"/>
          <w:tab w:val="left" w:pos="720"/>
        </w:tabs>
        <w:spacing w:before="18" w:line="317" w:lineRule="exact"/>
        <w:ind w:left="720" w:hanging="360"/>
        <w:textAlignment w:val="baseline"/>
        <w:rPr>
          <w:rFonts w:ascii="Arial" w:eastAsia="Arial" w:hAnsi="Arial"/>
          <w:color w:val="000000"/>
          <w:sz w:val="24"/>
        </w:rPr>
      </w:pPr>
      <w:r>
        <w:rPr>
          <w:rFonts w:ascii="Arial" w:eastAsia="Arial" w:hAnsi="Arial"/>
          <w:color w:val="000000"/>
          <w:sz w:val="24"/>
        </w:rPr>
        <w:t>Pupil numbers (AWPU) - 4%</w:t>
      </w:r>
    </w:p>
    <w:p w14:paraId="49469CB8" w14:textId="77777777" w:rsidR="007F5546" w:rsidRDefault="002D11AF">
      <w:pPr>
        <w:numPr>
          <w:ilvl w:val="0"/>
          <w:numId w:val="1"/>
        </w:numPr>
        <w:tabs>
          <w:tab w:val="clear" w:pos="360"/>
          <w:tab w:val="left" w:pos="720"/>
        </w:tabs>
        <w:spacing w:before="20" w:line="317" w:lineRule="exact"/>
        <w:ind w:left="720" w:hanging="360"/>
        <w:textAlignment w:val="baseline"/>
        <w:rPr>
          <w:rFonts w:ascii="Arial" w:eastAsia="Arial" w:hAnsi="Arial"/>
          <w:color w:val="000000"/>
          <w:sz w:val="24"/>
        </w:rPr>
      </w:pPr>
      <w:r>
        <w:rPr>
          <w:rFonts w:ascii="Arial" w:eastAsia="Arial" w:hAnsi="Arial"/>
          <w:color w:val="000000"/>
          <w:sz w:val="24"/>
        </w:rPr>
        <w:t>Low Prior attainment – Primary 47% and Secondary 55%</w:t>
      </w:r>
    </w:p>
    <w:p w14:paraId="34F72AAB" w14:textId="77777777" w:rsidR="007F5546" w:rsidRDefault="002D11AF">
      <w:pPr>
        <w:numPr>
          <w:ilvl w:val="0"/>
          <w:numId w:val="1"/>
        </w:numPr>
        <w:tabs>
          <w:tab w:val="clear" w:pos="360"/>
          <w:tab w:val="left" w:pos="720"/>
        </w:tabs>
        <w:spacing w:before="14" w:line="317" w:lineRule="exact"/>
        <w:ind w:left="720" w:hanging="360"/>
        <w:textAlignment w:val="baseline"/>
        <w:rPr>
          <w:rFonts w:ascii="Arial" w:eastAsia="Arial" w:hAnsi="Arial"/>
          <w:color w:val="000000"/>
          <w:sz w:val="24"/>
        </w:rPr>
      </w:pPr>
      <w:r>
        <w:rPr>
          <w:rFonts w:ascii="Arial" w:eastAsia="Arial" w:hAnsi="Arial"/>
          <w:color w:val="000000"/>
          <w:sz w:val="24"/>
        </w:rPr>
        <w:t xml:space="preserve">Social </w:t>
      </w:r>
      <w:proofErr w:type="gramStart"/>
      <w:r>
        <w:rPr>
          <w:rFonts w:ascii="Arial" w:eastAsia="Arial" w:hAnsi="Arial"/>
          <w:color w:val="000000"/>
          <w:sz w:val="24"/>
        </w:rPr>
        <w:t>deprivation;</w:t>
      </w:r>
      <w:proofErr w:type="gramEnd"/>
    </w:p>
    <w:p w14:paraId="092CA436" w14:textId="77777777" w:rsidR="007F5546" w:rsidRDefault="002D11AF">
      <w:pPr>
        <w:numPr>
          <w:ilvl w:val="0"/>
          <w:numId w:val="2"/>
        </w:numPr>
        <w:tabs>
          <w:tab w:val="clear" w:pos="360"/>
          <w:tab w:val="left" w:pos="1440"/>
        </w:tabs>
        <w:spacing w:before="42" w:line="275" w:lineRule="exact"/>
        <w:ind w:left="1080"/>
        <w:textAlignment w:val="baseline"/>
        <w:rPr>
          <w:rFonts w:ascii="Arial" w:eastAsia="Arial" w:hAnsi="Arial"/>
          <w:color w:val="000000"/>
          <w:sz w:val="24"/>
        </w:rPr>
      </w:pPr>
      <w:r>
        <w:rPr>
          <w:rFonts w:ascii="Arial" w:eastAsia="Arial" w:hAnsi="Arial"/>
          <w:color w:val="000000"/>
          <w:sz w:val="24"/>
        </w:rPr>
        <w:t>FSM and FSM6 – Primary 20% and Secondary 25%</w:t>
      </w:r>
    </w:p>
    <w:p w14:paraId="10A4670A" w14:textId="77777777" w:rsidR="007F5546" w:rsidRDefault="002D11AF">
      <w:pPr>
        <w:numPr>
          <w:ilvl w:val="0"/>
          <w:numId w:val="2"/>
        </w:numPr>
        <w:tabs>
          <w:tab w:val="clear" w:pos="360"/>
          <w:tab w:val="left" w:pos="1440"/>
        </w:tabs>
        <w:spacing w:before="42" w:line="275" w:lineRule="exact"/>
        <w:ind w:left="1080"/>
        <w:textAlignment w:val="baseline"/>
        <w:rPr>
          <w:rFonts w:ascii="Arial" w:eastAsia="Arial" w:hAnsi="Arial"/>
          <w:color w:val="000000"/>
          <w:sz w:val="24"/>
        </w:rPr>
      </w:pPr>
      <w:r>
        <w:rPr>
          <w:rFonts w:ascii="Arial" w:eastAsia="Arial" w:hAnsi="Arial"/>
          <w:color w:val="000000"/>
          <w:sz w:val="24"/>
        </w:rPr>
        <w:t>IDACI – Primary 45% and Secondary 45%</w:t>
      </w:r>
    </w:p>
    <w:p w14:paraId="0E119FAF" w14:textId="77777777" w:rsidR="007F5546" w:rsidRDefault="002D11AF">
      <w:pPr>
        <w:spacing w:before="637" w:line="316" w:lineRule="exact"/>
        <w:ind w:right="432"/>
        <w:textAlignment w:val="baseline"/>
        <w:rPr>
          <w:rFonts w:ascii="Arial" w:eastAsia="Arial" w:hAnsi="Arial"/>
          <w:color w:val="000000"/>
          <w:sz w:val="24"/>
        </w:rPr>
      </w:pPr>
      <w:r>
        <w:rPr>
          <w:rFonts w:ascii="Arial" w:eastAsia="Arial" w:hAnsi="Arial"/>
          <w:color w:val="000000"/>
          <w:sz w:val="24"/>
        </w:rPr>
        <w:t>Each year the school is informed through their School Budget Share how much Notional SEN money they will receive in support of low-cost high incident pupils. Schools should use their Notional SEN funding to meet the needs of the cohort of children and young people with SEND in their setting.</w:t>
      </w:r>
    </w:p>
    <w:p w14:paraId="5527C720" w14:textId="77777777" w:rsidR="007F5546" w:rsidRDefault="007F5546">
      <w:pPr>
        <w:sectPr w:rsidR="007F5546">
          <w:footerReference w:type="default" r:id="rId12"/>
          <w:pgSz w:w="11909" w:h="16838"/>
          <w:pgMar w:top="1180" w:right="1408" w:bottom="1222" w:left="1421" w:header="720" w:footer="720" w:gutter="0"/>
          <w:cols w:space="720"/>
        </w:sectPr>
      </w:pPr>
    </w:p>
    <w:p w14:paraId="720F0C8F" w14:textId="77777777" w:rsidR="007F5546" w:rsidRDefault="006C4BFC">
      <w:pPr>
        <w:spacing w:before="8" w:line="272" w:lineRule="exact"/>
        <w:textAlignment w:val="baseline"/>
        <w:rPr>
          <w:rFonts w:ascii="Arial" w:eastAsia="Arial" w:hAnsi="Arial"/>
          <w:color w:val="000000"/>
          <w:sz w:val="24"/>
        </w:rPr>
      </w:pPr>
      <w:r>
        <w:pict w14:anchorId="6BB12D40">
          <v:shapetype id="_x0000_t202" coordsize="21600,21600" o:spt="202" path="m,l,21600r21600,l21600,xe">
            <v:stroke joinstyle="miter"/>
            <v:path gradientshapeok="t" o:connecttype="rect"/>
          </v:shapetype>
          <v:shape id="_x0000_s0" o:spid="_x0000_s1036" type="#_x0000_t202" style="position:absolute;margin-left:68.6pt;margin-top:187.9pt;width:455.55pt;height:465.85pt;z-index:-251663872;mso-wrap-distance-left:0;mso-wrap-distance-right:0;mso-position-horizontal-relative:page;mso-position-vertical-relative:page" filled="f" stroked="f">
            <v:textbox inset="0,0,0,0">
              <w:txbxContent>
                <w:p w14:paraId="6254BDD2" w14:textId="77777777" w:rsidR="007F5546" w:rsidRDefault="002D11AF">
                  <w:pPr>
                    <w:ind w:left="44"/>
                    <w:textAlignment w:val="baseline"/>
                  </w:pPr>
                  <w:r>
                    <w:rPr>
                      <w:noProof/>
                    </w:rPr>
                    <w:drawing>
                      <wp:inline distT="0" distB="0" distL="0" distR="0" wp14:anchorId="16CB97B8" wp14:editId="1B882179">
                        <wp:extent cx="5757545" cy="591629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3"/>
                                <a:stretch>
                                  <a:fillRect/>
                                </a:stretch>
                              </pic:blipFill>
                              <pic:spPr>
                                <a:xfrm>
                                  <a:off x="0" y="0"/>
                                  <a:ext cx="5757545" cy="5916295"/>
                                </a:xfrm>
                                <a:prstGeom prst="rect">
                                  <a:avLst/>
                                </a:prstGeom>
                              </pic:spPr>
                            </pic:pic>
                          </a:graphicData>
                        </a:graphic>
                      </wp:inline>
                    </w:drawing>
                  </w:r>
                </w:p>
              </w:txbxContent>
            </v:textbox>
            <w10:wrap anchorx="page" anchory="page"/>
          </v:shape>
        </w:pict>
      </w:r>
      <w:r w:rsidR="002D11AF">
        <w:rPr>
          <w:rFonts w:ascii="Arial" w:eastAsia="Arial" w:hAnsi="Arial"/>
          <w:color w:val="000000"/>
          <w:sz w:val="24"/>
        </w:rPr>
        <w:t>Consideration for SEN Notional Budget</w:t>
      </w:r>
    </w:p>
    <w:p w14:paraId="4661C668" w14:textId="77777777" w:rsidR="007F5546" w:rsidRDefault="002D11AF">
      <w:pPr>
        <w:numPr>
          <w:ilvl w:val="0"/>
          <w:numId w:val="1"/>
        </w:numPr>
        <w:tabs>
          <w:tab w:val="clear" w:pos="360"/>
          <w:tab w:val="left" w:pos="792"/>
        </w:tabs>
        <w:spacing w:before="35" w:line="296" w:lineRule="exact"/>
        <w:ind w:left="792" w:hanging="360"/>
        <w:textAlignment w:val="baseline"/>
        <w:rPr>
          <w:rFonts w:ascii="Arial" w:eastAsia="Arial" w:hAnsi="Arial"/>
          <w:color w:val="000000"/>
          <w:sz w:val="24"/>
        </w:rPr>
      </w:pPr>
      <w:r>
        <w:rPr>
          <w:rFonts w:ascii="Arial" w:eastAsia="Arial" w:hAnsi="Arial"/>
          <w:color w:val="000000"/>
          <w:sz w:val="24"/>
        </w:rPr>
        <w:t xml:space="preserve">Expertise within the school to plan for any resources </w:t>
      </w:r>
      <w:proofErr w:type="gramStart"/>
      <w:r>
        <w:rPr>
          <w:rFonts w:ascii="Arial" w:eastAsia="Arial" w:hAnsi="Arial"/>
          <w:color w:val="000000"/>
          <w:sz w:val="24"/>
        </w:rPr>
        <w:t>needed</w:t>
      </w:r>
      <w:proofErr w:type="gramEnd"/>
    </w:p>
    <w:p w14:paraId="30055262" w14:textId="77777777" w:rsidR="007F5546" w:rsidRDefault="002D11AF">
      <w:pPr>
        <w:numPr>
          <w:ilvl w:val="0"/>
          <w:numId w:val="1"/>
        </w:numPr>
        <w:tabs>
          <w:tab w:val="clear" w:pos="360"/>
          <w:tab w:val="left" w:pos="792"/>
        </w:tabs>
        <w:spacing w:before="40" w:line="296" w:lineRule="exact"/>
        <w:ind w:left="792" w:hanging="360"/>
        <w:textAlignment w:val="baseline"/>
        <w:rPr>
          <w:rFonts w:ascii="Arial" w:eastAsia="Arial" w:hAnsi="Arial"/>
          <w:color w:val="000000"/>
          <w:sz w:val="24"/>
        </w:rPr>
      </w:pPr>
      <w:r>
        <w:rPr>
          <w:rFonts w:ascii="Arial" w:eastAsia="Arial" w:hAnsi="Arial"/>
          <w:color w:val="000000"/>
          <w:sz w:val="24"/>
        </w:rPr>
        <w:t xml:space="preserve">Curriculum pathways and grouped </w:t>
      </w:r>
      <w:proofErr w:type="gramStart"/>
      <w:r>
        <w:rPr>
          <w:rFonts w:ascii="Arial" w:eastAsia="Arial" w:hAnsi="Arial"/>
          <w:color w:val="000000"/>
          <w:sz w:val="24"/>
        </w:rPr>
        <w:t>provision</w:t>
      </w:r>
      <w:proofErr w:type="gramEnd"/>
    </w:p>
    <w:p w14:paraId="573641D5" w14:textId="77777777" w:rsidR="007F5546" w:rsidRDefault="002D11AF">
      <w:pPr>
        <w:numPr>
          <w:ilvl w:val="0"/>
          <w:numId w:val="1"/>
        </w:numPr>
        <w:tabs>
          <w:tab w:val="clear" w:pos="360"/>
          <w:tab w:val="left" w:pos="792"/>
        </w:tabs>
        <w:spacing w:before="36" w:line="296" w:lineRule="exact"/>
        <w:ind w:left="792" w:hanging="360"/>
        <w:textAlignment w:val="baseline"/>
        <w:rPr>
          <w:rFonts w:ascii="Arial" w:eastAsia="Arial" w:hAnsi="Arial"/>
          <w:color w:val="000000"/>
          <w:spacing w:val="-1"/>
          <w:sz w:val="24"/>
        </w:rPr>
      </w:pPr>
      <w:r>
        <w:rPr>
          <w:rFonts w:ascii="Arial" w:eastAsia="Arial" w:hAnsi="Arial"/>
          <w:color w:val="000000"/>
          <w:spacing w:val="-1"/>
          <w:sz w:val="24"/>
        </w:rPr>
        <w:t xml:space="preserve">Specialist advice </w:t>
      </w:r>
      <w:proofErr w:type="gramStart"/>
      <w:r>
        <w:rPr>
          <w:rFonts w:ascii="Arial" w:eastAsia="Arial" w:hAnsi="Arial"/>
          <w:color w:val="000000"/>
          <w:spacing w:val="-1"/>
          <w:sz w:val="24"/>
        </w:rPr>
        <w:t>needed</w:t>
      </w:r>
      <w:proofErr w:type="gramEnd"/>
    </w:p>
    <w:p w14:paraId="5788661D" w14:textId="77777777" w:rsidR="007F5546" w:rsidRDefault="002D11AF">
      <w:pPr>
        <w:numPr>
          <w:ilvl w:val="0"/>
          <w:numId w:val="1"/>
        </w:numPr>
        <w:tabs>
          <w:tab w:val="clear" w:pos="360"/>
          <w:tab w:val="left" w:pos="792"/>
        </w:tabs>
        <w:spacing w:before="40" w:line="296" w:lineRule="exact"/>
        <w:ind w:left="792" w:hanging="360"/>
        <w:textAlignment w:val="baseline"/>
        <w:rPr>
          <w:rFonts w:ascii="Arial" w:eastAsia="Arial" w:hAnsi="Arial"/>
          <w:color w:val="000000"/>
          <w:spacing w:val="-1"/>
          <w:sz w:val="24"/>
        </w:rPr>
      </w:pPr>
      <w:r>
        <w:rPr>
          <w:rFonts w:ascii="Arial" w:eastAsia="Arial" w:hAnsi="Arial"/>
          <w:color w:val="000000"/>
          <w:spacing w:val="-1"/>
          <w:sz w:val="24"/>
        </w:rPr>
        <w:t>Specific SEND resources</w:t>
      </w:r>
    </w:p>
    <w:p w14:paraId="26C2494B" w14:textId="77777777" w:rsidR="007F5546" w:rsidRDefault="002D11AF">
      <w:pPr>
        <w:numPr>
          <w:ilvl w:val="0"/>
          <w:numId w:val="1"/>
        </w:numPr>
        <w:tabs>
          <w:tab w:val="clear" w:pos="360"/>
          <w:tab w:val="left" w:pos="792"/>
        </w:tabs>
        <w:spacing w:before="35" w:line="296" w:lineRule="exact"/>
        <w:ind w:left="792" w:hanging="360"/>
        <w:textAlignment w:val="baseline"/>
        <w:rPr>
          <w:rFonts w:ascii="Arial" w:eastAsia="Arial" w:hAnsi="Arial"/>
          <w:color w:val="000000"/>
          <w:sz w:val="24"/>
        </w:rPr>
      </w:pPr>
      <w:r>
        <w:rPr>
          <w:rFonts w:ascii="Arial" w:eastAsia="Arial" w:hAnsi="Arial"/>
          <w:color w:val="000000"/>
          <w:sz w:val="24"/>
        </w:rPr>
        <w:t>Provision specified in Education Health Care Plans</w:t>
      </w:r>
    </w:p>
    <w:p w14:paraId="06828529" w14:textId="77777777" w:rsidR="007F5546" w:rsidRDefault="002D11AF">
      <w:pPr>
        <w:numPr>
          <w:ilvl w:val="0"/>
          <w:numId w:val="1"/>
        </w:numPr>
        <w:tabs>
          <w:tab w:val="clear" w:pos="360"/>
          <w:tab w:val="left" w:pos="792"/>
        </w:tabs>
        <w:spacing w:before="40" w:line="296" w:lineRule="exact"/>
        <w:ind w:left="792" w:hanging="360"/>
        <w:textAlignment w:val="baseline"/>
        <w:rPr>
          <w:rFonts w:ascii="Arial" w:eastAsia="Arial" w:hAnsi="Arial"/>
          <w:color w:val="000000"/>
          <w:sz w:val="24"/>
        </w:rPr>
      </w:pPr>
      <w:r>
        <w:rPr>
          <w:rFonts w:ascii="Arial" w:eastAsia="Arial" w:hAnsi="Arial"/>
          <w:color w:val="000000"/>
          <w:sz w:val="24"/>
        </w:rPr>
        <w:t>Evidence-based targeted interventions</w:t>
      </w:r>
    </w:p>
    <w:p w14:paraId="583B313D" w14:textId="77777777" w:rsidR="007F5546" w:rsidRDefault="002D11AF">
      <w:pPr>
        <w:tabs>
          <w:tab w:val="left" w:pos="792"/>
        </w:tabs>
        <w:spacing w:before="675" w:line="282" w:lineRule="exact"/>
        <w:textAlignment w:val="baseline"/>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t xml:space="preserve">Element Three - High Needs Block </w:t>
      </w:r>
      <w:r>
        <w:rPr>
          <w:rFonts w:ascii="Arial" w:eastAsia="Arial" w:hAnsi="Arial"/>
          <w:b/>
          <w:color w:val="000000"/>
          <w:sz w:val="26"/>
        </w:rPr>
        <w:t xml:space="preserve">– </w:t>
      </w:r>
      <w:r>
        <w:rPr>
          <w:rFonts w:ascii="Arial" w:eastAsia="Arial" w:hAnsi="Arial"/>
          <w:b/>
          <w:color w:val="000000"/>
          <w:sz w:val="24"/>
        </w:rPr>
        <w:t>Top Up Funding</w:t>
      </w:r>
    </w:p>
    <w:p w14:paraId="71DCC59A" w14:textId="77777777" w:rsidR="007F5546" w:rsidRDefault="002D11AF">
      <w:pPr>
        <w:spacing w:before="308" w:line="319" w:lineRule="exact"/>
        <w:ind w:right="792"/>
        <w:textAlignment w:val="baseline"/>
        <w:rPr>
          <w:rFonts w:ascii="Arial" w:eastAsia="Arial" w:hAnsi="Arial"/>
          <w:color w:val="000000"/>
          <w:spacing w:val="-1"/>
          <w:sz w:val="24"/>
        </w:rPr>
      </w:pPr>
      <w:r>
        <w:rPr>
          <w:rFonts w:ascii="Arial" w:eastAsia="Arial" w:hAnsi="Arial"/>
          <w:color w:val="000000"/>
          <w:spacing w:val="-1"/>
          <w:sz w:val="24"/>
        </w:rPr>
        <w:t xml:space="preserve">Schools and academies should have sufficient funding in their delegated SEN funding budget to enable them to support </w:t>
      </w:r>
      <w:proofErr w:type="gramStart"/>
      <w:r>
        <w:rPr>
          <w:rFonts w:ascii="Arial" w:eastAsia="Arial" w:hAnsi="Arial"/>
          <w:color w:val="000000"/>
          <w:spacing w:val="-1"/>
          <w:sz w:val="24"/>
        </w:rPr>
        <w:t>the majority of</w:t>
      </w:r>
      <w:proofErr w:type="gramEnd"/>
      <w:r>
        <w:rPr>
          <w:rFonts w:ascii="Arial" w:eastAsia="Arial" w:hAnsi="Arial"/>
          <w:color w:val="000000"/>
          <w:spacing w:val="-1"/>
          <w:sz w:val="24"/>
        </w:rPr>
        <w:t xml:space="preserve"> pupils’ SEND where required, up to the nationally agreed cost threshold of £6,000 per pupil.</w:t>
      </w:r>
    </w:p>
    <w:p w14:paraId="3D9599FC" w14:textId="77777777" w:rsidR="007F5546" w:rsidRDefault="002D11AF">
      <w:pPr>
        <w:spacing w:before="321" w:line="316" w:lineRule="exact"/>
        <w:ind w:right="72"/>
        <w:textAlignment w:val="baseline"/>
        <w:rPr>
          <w:rFonts w:ascii="Arial" w:eastAsia="Arial" w:hAnsi="Arial"/>
          <w:color w:val="000000"/>
          <w:sz w:val="24"/>
        </w:rPr>
      </w:pPr>
      <w:r>
        <w:rPr>
          <w:rFonts w:ascii="Arial" w:eastAsia="Arial" w:hAnsi="Arial"/>
          <w:color w:val="000000"/>
          <w:sz w:val="24"/>
        </w:rPr>
        <w:t>Where individual pupils require additional support that costs more than £6,000, the extra costs can be met by requesting Element 3 funding for the individual pupil. Top-Up funding is intended to provide additional, individually targeted support for named pupils who have a range of complex special educational needs whilst remaining in mainstream schools.</w:t>
      </w:r>
    </w:p>
    <w:p w14:paraId="2F4127E6" w14:textId="77777777" w:rsidR="007F5546" w:rsidRDefault="002D11AF">
      <w:pPr>
        <w:spacing w:before="321" w:line="317" w:lineRule="exact"/>
        <w:ind w:right="288"/>
        <w:textAlignment w:val="baseline"/>
        <w:rPr>
          <w:rFonts w:ascii="Arial" w:eastAsia="Arial" w:hAnsi="Arial"/>
          <w:color w:val="000000"/>
          <w:sz w:val="24"/>
        </w:rPr>
      </w:pPr>
      <w:r>
        <w:rPr>
          <w:rFonts w:ascii="Arial" w:eastAsia="Arial" w:hAnsi="Arial"/>
          <w:color w:val="000000"/>
          <w:sz w:val="24"/>
        </w:rPr>
        <w:t>Top-up funding is provided where these needs, and the provision required to meet them, are more significant than those typically met by resources that are already available to schools. Pupils who access top-up funding will have exceptionally complex special educational needs.</w:t>
      </w:r>
    </w:p>
    <w:p w14:paraId="71A463BD" w14:textId="77777777" w:rsidR="007F5546" w:rsidRDefault="002D11AF">
      <w:pPr>
        <w:spacing w:before="316" w:line="317" w:lineRule="exact"/>
        <w:ind w:right="288"/>
        <w:textAlignment w:val="baseline"/>
        <w:rPr>
          <w:rFonts w:ascii="Arial" w:eastAsia="Arial" w:hAnsi="Arial"/>
          <w:color w:val="000000"/>
          <w:sz w:val="24"/>
        </w:rPr>
      </w:pPr>
      <w:r>
        <w:rPr>
          <w:rFonts w:ascii="Arial" w:eastAsia="Arial" w:hAnsi="Arial"/>
          <w:color w:val="000000"/>
          <w:sz w:val="24"/>
        </w:rPr>
        <w:t>Examples of the different types and levels of need children may experience Pupil’s requiring top-up funding will require:</w:t>
      </w:r>
    </w:p>
    <w:p w14:paraId="4A934AE9" w14:textId="77777777" w:rsidR="007F5546" w:rsidRDefault="002D11AF">
      <w:pPr>
        <w:numPr>
          <w:ilvl w:val="0"/>
          <w:numId w:val="1"/>
        </w:numPr>
        <w:tabs>
          <w:tab w:val="clear" w:pos="360"/>
          <w:tab w:val="left" w:pos="792"/>
        </w:tabs>
        <w:spacing w:before="40" w:line="296" w:lineRule="exact"/>
        <w:ind w:left="792" w:hanging="360"/>
        <w:textAlignment w:val="baseline"/>
        <w:rPr>
          <w:rFonts w:ascii="Arial" w:eastAsia="Arial" w:hAnsi="Arial"/>
          <w:color w:val="000000"/>
          <w:sz w:val="24"/>
        </w:rPr>
      </w:pPr>
      <w:r>
        <w:rPr>
          <w:rFonts w:ascii="Arial" w:eastAsia="Arial" w:hAnsi="Arial"/>
          <w:color w:val="000000"/>
          <w:sz w:val="24"/>
        </w:rPr>
        <w:t>daily highly structured learning opportunities</w:t>
      </w:r>
    </w:p>
    <w:p w14:paraId="0FADB33A" w14:textId="77777777" w:rsidR="007F5546" w:rsidRDefault="002D11AF">
      <w:pPr>
        <w:numPr>
          <w:ilvl w:val="0"/>
          <w:numId w:val="1"/>
        </w:numPr>
        <w:tabs>
          <w:tab w:val="clear" w:pos="360"/>
          <w:tab w:val="left" w:pos="792"/>
        </w:tabs>
        <w:spacing w:before="35" w:line="296" w:lineRule="exact"/>
        <w:ind w:left="792" w:hanging="360"/>
        <w:textAlignment w:val="baseline"/>
        <w:rPr>
          <w:rFonts w:ascii="Arial" w:eastAsia="Arial" w:hAnsi="Arial"/>
          <w:color w:val="000000"/>
          <w:sz w:val="24"/>
        </w:rPr>
      </w:pPr>
      <w:r>
        <w:rPr>
          <w:rFonts w:ascii="Arial" w:eastAsia="Arial" w:hAnsi="Arial"/>
          <w:color w:val="000000"/>
          <w:sz w:val="24"/>
        </w:rPr>
        <w:t xml:space="preserve">frequent access to </w:t>
      </w:r>
      <w:proofErr w:type="gramStart"/>
      <w:r>
        <w:rPr>
          <w:rFonts w:ascii="Arial" w:eastAsia="Arial" w:hAnsi="Arial"/>
          <w:color w:val="000000"/>
          <w:sz w:val="24"/>
        </w:rPr>
        <w:t>small targeted</w:t>
      </w:r>
      <w:proofErr w:type="gramEnd"/>
      <w:r>
        <w:rPr>
          <w:rFonts w:ascii="Arial" w:eastAsia="Arial" w:hAnsi="Arial"/>
          <w:color w:val="000000"/>
          <w:sz w:val="24"/>
        </w:rPr>
        <w:t xml:space="preserve"> group support or </w:t>
      </w:r>
      <w:proofErr w:type="spellStart"/>
      <w:r>
        <w:rPr>
          <w:rFonts w:ascii="Arial" w:eastAsia="Arial" w:hAnsi="Arial"/>
          <w:color w:val="000000"/>
          <w:sz w:val="24"/>
        </w:rPr>
        <w:t>individualised</w:t>
      </w:r>
      <w:proofErr w:type="spellEnd"/>
      <w:r>
        <w:rPr>
          <w:rFonts w:ascii="Arial" w:eastAsia="Arial" w:hAnsi="Arial"/>
          <w:color w:val="000000"/>
          <w:sz w:val="24"/>
        </w:rPr>
        <w:t xml:space="preserve"> teaching</w:t>
      </w:r>
    </w:p>
    <w:p w14:paraId="15C15EBC" w14:textId="77777777" w:rsidR="007F5546" w:rsidRDefault="002D11AF">
      <w:pPr>
        <w:numPr>
          <w:ilvl w:val="0"/>
          <w:numId w:val="1"/>
        </w:numPr>
        <w:tabs>
          <w:tab w:val="clear" w:pos="360"/>
          <w:tab w:val="left" w:pos="792"/>
        </w:tabs>
        <w:spacing w:before="40" w:line="296" w:lineRule="exact"/>
        <w:ind w:left="792" w:hanging="360"/>
        <w:textAlignment w:val="baseline"/>
        <w:rPr>
          <w:rFonts w:ascii="Arial" w:eastAsia="Arial" w:hAnsi="Arial"/>
          <w:color w:val="000000"/>
          <w:sz w:val="24"/>
        </w:rPr>
      </w:pPr>
      <w:r>
        <w:rPr>
          <w:rFonts w:ascii="Arial" w:eastAsia="Arial" w:hAnsi="Arial"/>
          <w:color w:val="000000"/>
          <w:sz w:val="24"/>
        </w:rPr>
        <w:t xml:space="preserve">additional support required to ensure an integrated learning </w:t>
      </w:r>
      <w:proofErr w:type="gramStart"/>
      <w:r>
        <w:rPr>
          <w:rFonts w:ascii="Arial" w:eastAsia="Arial" w:hAnsi="Arial"/>
          <w:color w:val="000000"/>
          <w:sz w:val="24"/>
        </w:rPr>
        <w:t>experience</w:t>
      </w:r>
      <w:proofErr w:type="gramEnd"/>
    </w:p>
    <w:p w14:paraId="365C21A6" w14:textId="77777777" w:rsidR="007F5546" w:rsidRDefault="002D11AF">
      <w:pPr>
        <w:numPr>
          <w:ilvl w:val="0"/>
          <w:numId w:val="1"/>
        </w:numPr>
        <w:tabs>
          <w:tab w:val="clear" w:pos="360"/>
          <w:tab w:val="left" w:pos="792"/>
        </w:tabs>
        <w:spacing w:before="16" w:line="316" w:lineRule="exact"/>
        <w:ind w:left="792" w:right="72" w:hanging="360"/>
        <w:textAlignment w:val="baseline"/>
        <w:rPr>
          <w:rFonts w:ascii="Arial" w:eastAsia="Arial" w:hAnsi="Arial"/>
          <w:color w:val="000000"/>
          <w:sz w:val="24"/>
        </w:rPr>
      </w:pPr>
      <w:r>
        <w:rPr>
          <w:rFonts w:ascii="Arial" w:eastAsia="Arial" w:hAnsi="Arial"/>
          <w:color w:val="000000"/>
          <w:sz w:val="24"/>
        </w:rPr>
        <w:t xml:space="preserve">support to ensure equal access and social integration opportunities during the school </w:t>
      </w:r>
      <w:proofErr w:type="gramStart"/>
      <w:r>
        <w:rPr>
          <w:rFonts w:ascii="Arial" w:eastAsia="Arial" w:hAnsi="Arial"/>
          <w:color w:val="000000"/>
          <w:sz w:val="24"/>
        </w:rPr>
        <w:t>day</w:t>
      </w:r>
      <w:proofErr w:type="gramEnd"/>
    </w:p>
    <w:p w14:paraId="07839E7F" w14:textId="77777777" w:rsidR="007F5546" w:rsidRDefault="002D11AF">
      <w:pPr>
        <w:numPr>
          <w:ilvl w:val="0"/>
          <w:numId w:val="1"/>
        </w:numPr>
        <w:tabs>
          <w:tab w:val="clear" w:pos="360"/>
          <w:tab w:val="left" w:pos="792"/>
        </w:tabs>
        <w:spacing w:before="19" w:line="317" w:lineRule="exact"/>
        <w:ind w:left="792" w:right="72" w:hanging="360"/>
        <w:textAlignment w:val="baseline"/>
        <w:rPr>
          <w:rFonts w:ascii="Arial" w:eastAsia="Arial" w:hAnsi="Arial"/>
          <w:color w:val="000000"/>
          <w:sz w:val="24"/>
        </w:rPr>
      </w:pPr>
      <w:r>
        <w:rPr>
          <w:rFonts w:ascii="Arial" w:eastAsia="Arial" w:hAnsi="Arial"/>
          <w:color w:val="000000"/>
          <w:sz w:val="24"/>
        </w:rPr>
        <w:t xml:space="preserve">additional curriculum activities/arrangements that need to be in place within or outside of the usual learning environment for the child or young person to </w:t>
      </w:r>
      <w:proofErr w:type="gramStart"/>
      <w:r>
        <w:rPr>
          <w:rFonts w:ascii="Arial" w:eastAsia="Arial" w:hAnsi="Arial"/>
          <w:color w:val="000000"/>
          <w:sz w:val="24"/>
        </w:rPr>
        <w:t>achieve</w:t>
      </w:r>
      <w:proofErr w:type="gramEnd"/>
    </w:p>
    <w:p w14:paraId="5F6422A9" w14:textId="77777777" w:rsidR="007F5546" w:rsidRDefault="002D11AF">
      <w:pPr>
        <w:numPr>
          <w:ilvl w:val="0"/>
          <w:numId w:val="1"/>
        </w:numPr>
        <w:tabs>
          <w:tab w:val="clear" w:pos="360"/>
          <w:tab w:val="left" w:pos="792"/>
        </w:tabs>
        <w:spacing w:before="19" w:line="317" w:lineRule="exact"/>
        <w:ind w:left="792" w:right="144" w:hanging="360"/>
        <w:textAlignment w:val="baseline"/>
        <w:rPr>
          <w:rFonts w:ascii="Arial" w:eastAsia="Arial" w:hAnsi="Arial"/>
          <w:color w:val="000000"/>
          <w:sz w:val="24"/>
        </w:rPr>
      </w:pPr>
      <w:r>
        <w:rPr>
          <w:rFonts w:ascii="Arial" w:eastAsia="Arial" w:hAnsi="Arial"/>
          <w:color w:val="000000"/>
          <w:sz w:val="24"/>
        </w:rPr>
        <w:t xml:space="preserve">significant levels of regular teaching and/or support of a teaching assistant to address individual </w:t>
      </w:r>
      <w:proofErr w:type="gramStart"/>
      <w:r>
        <w:rPr>
          <w:rFonts w:ascii="Arial" w:eastAsia="Arial" w:hAnsi="Arial"/>
          <w:color w:val="000000"/>
          <w:sz w:val="24"/>
        </w:rPr>
        <w:t>outcomes</w:t>
      </w:r>
      <w:proofErr w:type="gramEnd"/>
    </w:p>
    <w:p w14:paraId="1F9293E6" w14:textId="77777777" w:rsidR="007F5546" w:rsidRDefault="002D11AF">
      <w:pPr>
        <w:spacing w:before="361" w:line="272" w:lineRule="exact"/>
        <w:textAlignment w:val="baseline"/>
        <w:rPr>
          <w:rFonts w:ascii="Arial" w:eastAsia="Arial" w:hAnsi="Arial"/>
          <w:color w:val="000000"/>
          <w:sz w:val="24"/>
        </w:rPr>
      </w:pPr>
      <w:r>
        <w:rPr>
          <w:rFonts w:ascii="Arial" w:eastAsia="Arial" w:hAnsi="Arial"/>
          <w:color w:val="000000"/>
          <w:sz w:val="24"/>
        </w:rPr>
        <w:t>Top-up funding can be used for a range of responses to SEND including:</w:t>
      </w:r>
    </w:p>
    <w:p w14:paraId="5540A49D" w14:textId="77777777" w:rsidR="007F5546" w:rsidRDefault="002D11AF">
      <w:pPr>
        <w:numPr>
          <w:ilvl w:val="0"/>
          <w:numId w:val="1"/>
        </w:numPr>
        <w:tabs>
          <w:tab w:val="clear" w:pos="360"/>
          <w:tab w:val="left" w:pos="792"/>
        </w:tabs>
        <w:spacing w:before="36" w:line="296" w:lineRule="exact"/>
        <w:ind w:left="792" w:hanging="360"/>
        <w:textAlignment w:val="baseline"/>
        <w:rPr>
          <w:rFonts w:ascii="Arial" w:eastAsia="Arial" w:hAnsi="Arial"/>
          <w:color w:val="000000"/>
          <w:sz w:val="24"/>
        </w:rPr>
      </w:pPr>
      <w:r>
        <w:rPr>
          <w:rFonts w:ascii="Arial" w:eastAsia="Arial" w:hAnsi="Arial"/>
          <w:color w:val="000000"/>
          <w:sz w:val="24"/>
        </w:rPr>
        <w:t xml:space="preserve">providing support for pupils with complex needs in mainstream </w:t>
      </w:r>
      <w:proofErr w:type="gramStart"/>
      <w:r>
        <w:rPr>
          <w:rFonts w:ascii="Arial" w:eastAsia="Arial" w:hAnsi="Arial"/>
          <w:color w:val="000000"/>
          <w:sz w:val="24"/>
        </w:rPr>
        <w:t>settings;</w:t>
      </w:r>
      <w:proofErr w:type="gramEnd"/>
    </w:p>
    <w:p w14:paraId="6185B20A" w14:textId="74861154" w:rsidR="007F5546" w:rsidRPr="001611C0" w:rsidRDefault="002D11AF" w:rsidP="001611C0">
      <w:pPr>
        <w:numPr>
          <w:ilvl w:val="0"/>
          <w:numId w:val="1"/>
        </w:numPr>
        <w:tabs>
          <w:tab w:val="clear" w:pos="360"/>
          <w:tab w:val="left" w:pos="792"/>
        </w:tabs>
        <w:spacing w:before="40" w:line="296" w:lineRule="exact"/>
        <w:ind w:left="792" w:hanging="360"/>
        <w:textAlignment w:val="baseline"/>
        <w:rPr>
          <w:rFonts w:ascii="Arial" w:eastAsia="Arial" w:hAnsi="Arial"/>
          <w:color w:val="000000"/>
          <w:spacing w:val="-1"/>
          <w:sz w:val="24"/>
        </w:rPr>
      </w:pPr>
      <w:r>
        <w:rPr>
          <w:rFonts w:ascii="Arial" w:eastAsia="Arial" w:hAnsi="Arial"/>
          <w:color w:val="000000"/>
          <w:spacing w:val="-1"/>
          <w:sz w:val="24"/>
        </w:rPr>
        <w:t xml:space="preserve">purchase one off resources or equipment for a specific child or young </w:t>
      </w:r>
      <w:proofErr w:type="gramStart"/>
      <w:r>
        <w:rPr>
          <w:rFonts w:ascii="Arial" w:eastAsia="Arial" w:hAnsi="Arial"/>
          <w:color w:val="000000"/>
          <w:spacing w:val="-1"/>
          <w:sz w:val="24"/>
        </w:rPr>
        <w:t>person;</w:t>
      </w:r>
      <w:proofErr w:type="gramEnd"/>
    </w:p>
    <w:p w14:paraId="610C080A" w14:textId="77777777" w:rsidR="007F5546" w:rsidRDefault="007F5546">
      <w:pPr>
        <w:sectPr w:rsidR="007F5546">
          <w:pgSz w:w="11909" w:h="16838"/>
          <w:pgMar w:top="1740" w:right="1457" w:bottom="602" w:left="1372" w:header="720" w:footer="720" w:gutter="0"/>
          <w:cols w:space="720"/>
        </w:sectPr>
      </w:pPr>
    </w:p>
    <w:p w14:paraId="259D62BE" w14:textId="77777777" w:rsidR="007F5546" w:rsidRDefault="006C4BFC">
      <w:pPr>
        <w:numPr>
          <w:ilvl w:val="0"/>
          <w:numId w:val="1"/>
        </w:numPr>
        <w:tabs>
          <w:tab w:val="clear" w:pos="360"/>
          <w:tab w:val="left" w:pos="792"/>
        </w:tabs>
        <w:spacing w:before="81" w:line="317" w:lineRule="exact"/>
        <w:ind w:left="792" w:right="72" w:hanging="360"/>
        <w:jc w:val="both"/>
        <w:textAlignment w:val="baseline"/>
        <w:rPr>
          <w:rFonts w:ascii="Arial" w:eastAsia="Arial" w:hAnsi="Arial"/>
          <w:color w:val="000000"/>
          <w:sz w:val="24"/>
        </w:rPr>
      </w:pPr>
      <w:r>
        <w:pict w14:anchorId="0721DE06">
          <v:shape id="_x0000_s1035" type="#_x0000_t202" style="position:absolute;left:0;text-align:left;margin-left:69.05pt;margin-top:187.9pt;width:455.1pt;height:465.85pt;z-index:-251662848;mso-wrap-distance-left:0;mso-wrap-distance-right:0;mso-position-horizontal-relative:page;mso-position-vertical-relative:page" filled="f" stroked="f">
            <v:textbox inset="0,0,0,0">
              <w:txbxContent>
                <w:p w14:paraId="57E15635" w14:textId="77777777" w:rsidR="007F5546" w:rsidRDefault="002D11AF">
                  <w:pPr>
                    <w:ind w:left="35"/>
                    <w:textAlignment w:val="baseline"/>
                  </w:pPr>
                  <w:r>
                    <w:rPr>
                      <w:noProof/>
                    </w:rPr>
                    <w:drawing>
                      <wp:inline distT="0" distB="0" distL="0" distR="0" wp14:anchorId="5078D834" wp14:editId="470B140A">
                        <wp:extent cx="5757545" cy="59162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5757545" cy="5916295"/>
                                </a:xfrm>
                                <a:prstGeom prst="rect">
                                  <a:avLst/>
                                </a:prstGeom>
                              </pic:spPr>
                            </pic:pic>
                          </a:graphicData>
                        </a:graphic>
                      </wp:inline>
                    </w:drawing>
                  </w:r>
                </w:p>
              </w:txbxContent>
            </v:textbox>
            <w10:wrap anchorx="page" anchory="page"/>
          </v:shape>
        </w:pict>
      </w:r>
      <w:r w:rsidR="002D11AF">
        <w:rPr>
          <w:rFonts w:ascii="Arial" w:eastAsia="Arial" w:hAnsi="Arial"/>
          <w:color w:val="000000"/>
          <w:sz w:val="24"/>
        </w:rPr>
        <w:t xml:space="preserve">SEN training and development for specific members of staff </w:t>
      </w:r>
      <w:proofErr w:type="gramStart"/>
      <w:r w:rsidR="002D11AF">
        <w:rPr>
          <w:rFonts w:ascii="Arial" w:eastAsia="Arial" w:hAnsi="Arial"/>
          <w:color w:val="000000"/>
          <w:sz w:val="24"/>
        </w:rPr>
        <w:t>in order to</w:t>
      </w:r>
      <w:proofErr w:type="gramEnd"/>
      <w:r w:rsidR="002D11AF">
        <w:rPr>
          <w:rFonts w:ascii="Arial" w:eastAsia="Arial" w:hAnsi="Arial"/>
          <w:color w:val="000000"/>
          <w:sz w:val="24"/>
        </w:rPr>
        <w:t xml:space="preserve"> deliver specific provision.</w:t>
      </w:r>
    </w:p>
    <w:p w14:paraId="21E1D736" w14:textId="6118B6E6" w:rsidR="007F5546" w:rsidRDefault="002D11AF">
      <w:pPr>
        <w:spacing w:before="361" w:line="272" w:lineRule="exact"/>
        <w:ind w:right="72"/>
        <w:textAlignment w:val="baseline"/>
        <w:rPr>
          <w:rFonts w:ascii="Arial" w:eastAsia="Arial" w:hAnsi="Arial"/>
          <w:color w:val="000000"/>
          <w:sz w:val="24"/>
        </w:rPr>
      </w:pPr>
      <w:r>
        <w:rPr>
          <w:rFonts w:ascii="Arial" w:eastAsia="Arial" w:hAnsi="Arial"/>
          <w:color w:val="000000"/>
          <w:sz w:val="24"/>
        </w:rPr>
        <w:t>Top up funding is paid at the agreed rate of £1</w:t>
      </w:r>
      <w:r w:rsidR="009B198E">
        <w:rPr>
          <w:rFonts w:ascii="Arial" w:eastAsia="Arial" w:hAnsi="Arial"/>
          <w:color w:val="000000"/>
          <w:sz w:val="24"/>
        </w:rPr>
        <w:t>3.16</w:t>
      </w:r>
      <w:r>
        <w:rPr>
          <w:rFonts w:ascii="Arial" w:eastAsia="Arial" w:hAnsi="Arial"/>
          <w:color w:val="000000"/>
          <w:sz w:val="24"/>
        </w:rPr>
        <w:t xml:space="preserve"> an hour (from April </w:t>
      </w:r>
      <w:r w:rsidR="009B198E">
        <w:rPr>
          <w:rFonts w:ascii="Arial" w:eastAsia="Arial" w:hAnsi="Arial"/>
          <w:color w:val="000000"/>
          <w:sz w:val="24"/>
        </w:rPr>
        <w:t>‘</w:t>
      </w:r>
      <w:r>
        <w:rPr>
          <w:rFonts w:ascii="Arial" w:eastAsia="Arial" w:hAnsi="Arial"/>
          <w:color w:val="000000"/>
          <w:sz w:val="24"/>
        </w:rPr>
        <w:t>2</w:t>
      </w:r>
      <w:r w:rsidR="009B198E">
        <w:rPr>
          <w:rFonts w:ascii="Arial" w:eastAsia="Arial" w:hAnsi="Arial"/>
          <w:color w:val="000000"/>
          <w:sz w:val="24"/>
        </w:rPr>
        <w:t>4</w:t>
      </w:r>
      <w:r>
        <w:rPr>
          <w:rFonts w:ascii="Arial" w:eastAsia="Arial" w:hAnsi="Arial"/>
          <w:color w:val="000000"/>
          <w:sz w:val="24"/>
        </w:rPr>
        <w:t>)</w:t>
      </w:r>
    </w:p>
    <w:p w14:paraId="7009F154" w14:textId="77777777" w:rsidR="007F5546" w:rsidRDefault="002D11AF">
      <w:pPr>
        <w:tabs>
          <w:tab w:val="left" w:pos="792"/>
        </w:tabs>
        <w:spacing w:before="682" w:line="277" w:lineRule="exact"/>
        <w:ind w:right="72"/>
        <w:textAlignment w:val="baseline"/>
        <w:rPr>
          <w:rFonts w:ascii="Arial" w:eastAsia="Arial" w:hAnsi="Arial"/>
          <w:b/>
          <w:color w:val="000000"/>
          <w:sz w:val="24"/>
        </w:rPr>
      </w:pPr>
      <w:r>
        <w:rPr>
          <w:rFonts w:ascii="Arial" w:eastAsia="Arial" w:hAnsi="Arial"/>
          <w:b/>
          <w:color w:val="000000"/>
          <w:sz w:val="24"/>
        </w:rPr>
        <w:t>5.</w:t>
      </w:r>
      <w:r>
        <w:rPr>
          <w:rFonts w:ascii="Arial" w:eastAsia="Arial" w:hAnsi="Arial"/>
          <w:b/>
          <w:color w:val="000000"/>
          <w:sz w:val="24"/>
        </w:rPr>
        <w:tab/>
        <w:t xml:space="preserve">Applying for Element Three </w:t>
      </w:r>
      <w:r>
        <w:rPr>
          <w:rFonts w:ascii="Arial" w:eastAsia="Arial" w:hAnsi="Arial"/>
          <w:b/>
          <w:color w:val="000000"/>
          <w:sz w:val="25"/>
        </w:rPr>
        <w:t xml:space="preserve">– </w:t>
      </w:r>
      <w:r>
        <w:rPr>
          <w:rFonts w:ascii="Arial" w:eastAsia="Arial" w:hAnsi="Arial"/>
          <w:b/>
          <w:color w:val="000000"/>
          <w:sz w:val="24"/>
        </w:rPr>
        <w:t>High Needs -Top-up Funding</w:t>
      </w:r>
    </w:p>
    <w:p w14:paraId="487C24FE" w14:textId="77777777" w:rsidR="007F5546" w:rsidRDefault="002D11AF">
      <w:pPr>
        <w:spacing w:before="317" w:line="316" w:lineRule="exact"/>
        <w:ind w:right="72"/>
        <w:textAlignment w:val="baseline"/>
        <w:rPr>
          <w:rFonts w:ascii="Arial" w:eastAsia="Arial" w:hAnsi="Arial"/>
          <w:color w:val="000000"/>
          <w:sz w:val="24"/>
        </w:rPr>
      </w:pPr>
      <w:r>
        <w:rPr>
          <w:rFonts w:ascii="Arial" w:eastAsia="Arial" w:hAnsi="Arial"/>
          <w:color w:val="000000"/>
          <w:sz w:val="24"/>
        </w:rPr>
        <w:t xml:space="preserve">It is expected, that prior to making an application for Top-Up funding, a school or post-16 setting should be able to demonstrate how it has implemented universal and targeted SEN support through a graduated approach. This should include ongoing assessment, observation, support, </w:t>
      </w:r>
      <w:proofErr w:type="gramStart"/>
      <w:r>
        <w:rPr>
          <w:rFonts w:ascii="Arial" w:eastAsia="Arial" w:hAnsi="Arial"/>
          <w:color w:val="000000"/>
          <w:sz w:val="24"/>
        </w:rPr>
        <w:t>advice</w:t>
      </w:r>
      <w:proofErr w:type="gramEnd"/>
      <w:r>
        <w:rPr>
          <w:rFonts w:ascii="Arial" w:eastAsia="Arial" w:hAnsi="Arial"/>
          <w:color w:val="000000"/>
          <w:sz w:val="24"/>
        </w:rPr>
        <w:t xml:space="preserve"> and training for staff from external supporting services.</w:t>
      </w:r>
    </w:p>
    <w:p w14:paraId="5DA3F951" w14:textId="201E4592" w:rsidR="007F5546" w:rsidRDefault="002D11AF">
      <w:pPr>
        <w:spacing w:before="324" w:line="316" w:lineRule="exact"/>
        <w:ind w:right="72"/>
        <w:textAlignment w:val="baseline"/>
        <w:rPr>
          <w:rFonts w:ascii="Arial" w:eastAsia="Arial" w:hAnsi="Arial"/>
          <w:color w:val="000000"/>
          <w:sz w:val="24"/>
        </w:rPr>
      </w:pPr>
      <w:r w:rsidRPr="009B198E">
        <w:rPr>
          <w:rFonts w:ascii="Arial" w:eastAsia="Arial" w:hAnsi="Arial"/>
          <w:color w:val="000000"/>
          <w:sz w:val="24"/>
        </w:rPr>
        <w:t xml:space="preserve">Only the child’s educational school or post-16 setting can apply for top-up funding. </w:t>
      </w:r>
      <w:r w:rsidRPr="009B198E">
        <w:rPr>
          <w:rFonts w:ascii="Arial" w:eastAsia="Arial" w:hAnsi="Arial"/>
          <w:b/>
          <w:bCs/>
          <w:color w:val="000000"/>
          <w:sz w:val="24"/>
        </w:rPr>
        <w:t>A maximum of one application for all CYP requiring TUF to be made per term by the school or educational setting.</w:t>
      </w:r>
      <w:r w:rsidR="006E3FA4" w:rsidRPr="009B198E">
        <w:rPr>
          <w:rFonts w:ascii="Arial" w:eastAsia="Arial" w:hAnsi="Arial"/>
          <w:color w:val="000000"/>
          <w:sz w:val="24"/>
        </w:rPr>
        <w:t xml:space="preserve"> Exceptions may be made for CYP joining the school role within the term</w:t>
      </w:r>
      <w:r w:rsidR="009B198E">
        <w:rPr>
          <w:rFonts w:ascii="Arial" w:eastAsia="Arial" w:hAnsi="Arial"/>
          <w:color w:val="000000"/>
          <w:sz w:val="24"/>
        </w:rPr>
        <w:t xml:space="preserve"> with significant SEND need</w:t>
      </w:r>
      <w:r w:rsidR="006E3FA4" w:rsidRPr="009B198E">
        <w:rPr>
          <w:rFonts w:ascii="Arial" w:eastAsia="Arial" w:hAnsi="Arial"/>
          <w:color w:val="000000"/>
          <w:sz w:val="24"/>
        </w:rPr>
        <w:t>.</w:t>
      </w:r>
      <w:r w:rsidR="006E3FA4">
        <w:rPr>
          <w:rFonts w:ascii="Arial" w:eastAsia="Arial" w:hAnsi="Arial"/>
          <w:color w:val="000000"/>
          <w:sz w:val="24"/>
        </w:rPr>
        <w:t xml:space="preserve">  </w:t>
      </w:r>
    </w:p>
    <w:p w14:paraId="76A0787B" w14:textId="77777777" w:rsidR="007F5546" w:rsidRDefault="002D11AF">
      <w:pPr>
        <w:spacing w:before="362" w:line="272" w:lineRule="exact"/>
        <w:ind w:right="72"/>
        <w:textAlignment w:val="baseline"/>
        <w:rPr>
          <w:rFonts w:ascii="Arial" w:eastAsia="Arial" w:hAnsi="Arial"/>
          <w:color w:val="000000"/>
          <w:sz w:val="24"/>
        </w:rPr>
      </w:pPr>
      <w:r>
        <w:rPr>
          <w:rFonts w:ascii="Arial" w:eastAsia="Arial" w:hAnsi="Arial"/>
          <w:color w:val="000000"/>
          <w:sz w:val="24"/>
        </w:rPr>
        <w:t>Top-up funding will ordinarily only be considered where:</w:t>
      </w:r>
    </w:p>
    <w:p w14:paraId="053B01A5" w14:textId="74D99FF8" w:rsidR="007F5546" w:rsidRDefault="002D11AF">
      <w:pPr>
        <w:numPr>
          <w:ilvl w:val="0"/>
          <w:numId w:val="1"/>
        </w:numPr>
        <w:tabs>
          <w:tab w:val="clear" w:pos="360"/>
          <w:tab w:val="left" w:pos="792"/>
        </w:tabs>
        <w:spacing w:before="40" w:line="297" w:lineRule="exact"/>
        <w:ind w:left="792" w:right="72" w:hanging="360"/>
        <w:textAlignment w:val="baseline"/>
        <w:rPr>
          <w:rFonts w:ascii="Arial" w:eastAsia="Arial" w:hAnsi="Arial"/>
          <w:color w:val="000000"/>
          <w:sz w:val="24"/>
        </w:rPr>
      </w:pPr>
      <w:r>
        <w:rPr>
          <w:rFonts w:ascii="Arial" w:eastAsia="Arial" w:hAnsi="Arial"/>
          <w:color w:val="000000"/>
          <w:sz w:val="24"/>
        </w:rPr>
        <w:t>School is at their identified ‘trigger point’ for making a request</w:t>
      </w:r>
      <w:r w:rsidR="009B198E">
        <w:rPr>
          <w:rFonts w:ascii="Arial" w:eastAsia="Arial" w:hAnsi="Arial"/>
          <w:color w:val="000000"/>
          <w:sz w:val="24"/>
        </w:rPr>
        <w:t xml:space="preserve"> (or is a small school with a trigger point of 3 or less)</w:t>
      </w:r>
    </w:p>
    <w:p w14:paraId="43BACD44" w14:textId="15C2F339" w:rsidR="007F5546" w:rsidRDefault="002D11AF">
      <w:pPr>
        <w:numPr>
          <w:ilvl w:val="0"/>
          <w:numId w:val="1"/>
        </w:numPr>
        <w:tabs>
          <w:tab w:val="clear" w:pos="360"/>
          <w:tab w:val="left" w:pos="792"/>
        </w:tabs>
        <w:spacing w:before="13" w:line="317" w:lineRule="exact"/>
        <w:ind w:left="792" w:right="72" w:hanging="360"/>
        <w:jc w:val="both"/>
        <w:textAlignment w:val="baseline"/>
        <w:rPr>
          <w:rFonts w:ascii="Arial" w:eastAsia="Arial" w:hAnsi="Arial"/>
          <w:color w:val="000000"/>
          <w:sz w:val="24"/>
        </w:rPr>
      </w:pPr>
      <w:r>
        <w:rPr>
          <w:rFonts w:ascii="Arial" w:eastAsia="Arial" w:hAnsi="Arial"/>
          <w:color w:val="000000"/>
          <w:sz w:val="24"/>
        </w:rPr>
        <w:t>The pupil is, or will be accessing full time provision (this also applies to group top-up funding requests)</w:t>
      </w:r>
    </w:p>
    <w:p w14:paraId="72F986C1" w14:textId="62E15914" w:rsidR="00617E11" w:rsidRPr="009B198E" w:rsidRDefault="00617E11">
      <w:pPr>
        <w:numPr>
          <w:ilvl w:val="0"/>
          <w:numId w:val="1"/>
        </w:numPr>
        <w:tabs>
          <w:tab w:val="clear" w:pos="360"/>
          <w:tab w:val="left" w:pos="792"/>
        </w:tabs>
        <w:spacing w:before="13" w:line="317" w:lineRule="exact"/>
        <w:ind w:left="792" w:right="72" w:hanging="360"/>
        <w:jc w:val="both"/>
        <w:textAlignment w:val="baseline"/>
        <w:rPr>
          <w:rFonts w:ascii="Arial" w:eastAsia="Arial" w:hAnsi="Arial"/>
          <w:color w:val="000000"/>
          <w:sz w:val="24"/>
        </w:rPr>
      </w:pPr>
      <w:r w:rsidRPr="009B198E">
        <w:rPr>
          <w:rFonts w:ascii="Arial" w:eastAsia="Arial" w:hAnsi="Arial"/>
          <w:color w:val="000000"/>
          <w:sz w:val="24"/>
        </w:rPr>
        <w:t>No previous requests have been made during the term (unless exceptions apply (</w:t>
      </w:r>
      <w:proofErr w:type="gramStart"/>
      <w:r w:rsidRPr="009B198E">
        <w:rPr>
          <w:rFonts w:ascii="Arial" w:eastAsia="Arial" w:hAnsi="Arial"/>
          <w:color w:val="000000"/>
          <w:sz w:val="24"/>
        </w:rPr>
        <w:t>e.g.</w:t>
      </w:r>
      <w:proofErr w:type="gramEnd"/>
      <w:r w:rsidRPr="009B198E">
        <w:rPr>
          <w:rFonts w:ascii="Arial" w:eastAsia="Arial" w:hAnsi="Arial"/>
          <w:color w:val="000000"/>
          <w:sz w:val="24"/>
        </w:rPr>
        <w:t xml:space="preserve"> a pupil being added to role during the term)</w:t>
      </w:r>
    </w:p>
    <w:p w14:paraId="706177A0" w14:textId="77777777" w:rsidR="007F5546" w:rsidRDefault="002D11AF">
      <w:pPr>
        <w:spacing w:before="321" w:line="317" w:lineRule="exact"/>
        <w:ind w:right="72"/>
        <w:textAlignment w:val="baseline"/>
        <w:rPr>
          <w:rFonts w:ascii="Arial" w:eastAsia="Arial" w:hAnsi="Arial"/>
          <w:color w:val="000000"/>
          <w:spacing w:val="-1"/>
          <w:sz w:val="24"/>
        </w:rPr>
      </w:pPr>
      <w:r>
        <w:rPr>
          <w:rFonts w:ascii="Arial" w:eastAsia="Arial" w:hAnsi="Arial"/>
          <w:color w:val="000000"/>
          <w:spacing w:val="-1"/>
          <w:sz w:val="24"/>
        </w:rPr>
        <w:t>Provision using top-up funding should increase access to the curriculum and learning environment and to support the child or young person in achieving their outcomes.</w:t>
      </w:r>
    </w:p>
    <w:p w14:paraId="663731BB" w14:textId="4F6BE0A7" w:rsidR="007F5546" w:rsidRDefault="002D11AF">
      <w:pPr>
        <w:spacing w:before="320" w:line="316" w:lineRule="exact"/>
        <w:ind w:right="72"/>
        <w:textAlignment w:val="baseline"/>
        <w:rPr>
          <w:rFonts w:ascii="Arial" w:eastAsia="Arial" w:hAnsi="Arial"/>
          <w:color w:val="000000"/>
          <w:sz w:val="24"/>
        </w:rPr>
      </w:pPr>
      <w:r w:rsidRPr="009B198E">
        <w:rPr>
          <w:rFonts w:ascii="Arial" w:eastAsia="Arial" w:hAnsi="Arial"/>
          <w:color w:val="000000"/>
          <w:sz w:val="24"/>
        </w:rPr>
        <w:t>Applications will be considered on a weekly basis during the SEND Inclusion Forum held every Thursday</w:t>
      </w:r>
      <w:r w:rsidR="006E3FA4" w:rsidRPr="009B198E">
        <w:rPr>
          <w:rFonts w:ascii="Arial" w:eastAsia="Arial" w:hAnsi="Arial"/>
          <w:color w:val="000000"/>
          <w:sz w:val="24"/>
        </w:rPr>
        <w:t xml:space="preserve"> and decision outcomes will be shared with schools/settings by the end of the half term in which they were submitted at the latest</w:t>
      </w:r>
      <w:r w:rsidRPr="009B198E">
        <w:rPr>
          <w:rFonts w:ascii="Arial" w:eastAsia="Arial" w:hAnsi="Arial"/>
          <w:color w:val="000000"/>
          <w:sz w:val="24"/>
        </w:rPr>
        <w:t>.</w:t>
      </w:r>
      <w:r w:rsidR="009B198E" w:rsidRPr="009B198E">
        <w:rPr>
          <w:rFonts w:ascii="Arial" w:eastAsia="Arial" w:hAnsi="Arial"/>
          <w:color w:val="000000"/>
          <w:sz w:val="24"/>
        </w:rPr>
        <w:t xml:space="preserve"> </w:t>
      </w:r>
      <w:r w:rsidRPr="009B198E">
        <w:rPr>
          <w:rFonts w:ascii="Arial" w:eastAsia="Arial" w:hAnsi="Arial"/>
          <w:color w:val="000000"/>
          <w:sz w:val="24"/>
        </w:rPr>
        <w:t>Applications should be sent to:</w:t>
      </w:r>
      <w:hyperlink r:id="rId15">
        <w:r w:rsidRPr="009B198E">
          <w:rPr>
            <w:rFonts w:ascii="Arial" w:eastAsia="Arial" w:hAnsi="Arial"/>
            <w:color w:val="0000FF"/>
            <w:sz w:val="24"/>
            <w:u w:val="single"/>
          </w:rPr>
          <w:t xml:space="preserve"> SENDsupport@milton-</w:t>
        </w:r>
      </w:hyperlink>
      <w:hyperlink r:id="rId16">
        <w:r w:rsidRPr="009B198E">
          <w:rPr>
            <w:rFonts w:ascii="Arial" w:eastAsia="Arial" w:hAnsi="Arial"/>
            <w:color w:val="0000FF"/>
            <w:sz w:val="24"/>
            <w:u w:val="single"/>
          </w:rPr>
          <w:t>keynes.gov.uk</w:t>
        </w:r>
      </w:hyperlink>
      <w:r>
        <w:rPr>
          <w:rFonts w:ascii="Arial" w:eastAsia="Arial" w:hAnsi="Arial"/>
          <w:color w:val="000000"/>
          <w:sz w:val="24"/>
        </w:rPr>
        <w:t xml:space="preserve"> </w:t>
      </w:r>
    </w:p>
    <w:p w14:paraId="6E7BAF78" w14:textId="676085C4" w:rsidR="007F5546" w:rsidRDefault="002D11AF">
      <w:pPr>
        <w:spacing w:before="313" w:line="321" w:lineRule="exact"/>
        <w:ind w:right="1224"/>
        <w:textAlignment w:val="baseline"/>
        <w:rPr>
          <w:rFonts w:ascii="Arial" w:eastAsia="Arial" w:hAnsi="Arial"/>
          <w:color w:val="000000"/>
          <w:sz w:val="24"/>
        </w:rPr>
      </w:pPr>
      <w:proofErr w:type="gramStart"/>
      <w:r>
        <w:rPr>
          <w:rFonts w:ascii="Arial" w:eastAsia="Arial" w:hAnsi="Arial"/>
          <w:color w:val="000000"/>
          <w:sz w:val="24"/>
        </w:rPr>
        <w:t>In order for</w:t>
      </w:r>
      <w:proofErr w:type="gramEnd"/>
      <w:r>
        <w:rPr>
          <w:rFonts w:ascii="Arial" w:eastAsia="Arial" w:hAnsi="Arial"/>
          <w:color w:val="000000"/>
          <w:sz w:val="24"/>
        </w:rPr>
        <w:t xml:space="preserve"> your application to be considered, please include the following </w:t>
      </w:r>
      <w:r w:rsidRPr="009B198E">
        <w:rPr>
          <w:rFonts w:ascii="Arial" w:eastAsia="Arial" w:hAnsi="Arial"/>
          <w:color w:val="000000"/>
          <w:sz w:val="24"/>
        </w:rPr>
        <w:t>documents</w:t>
      </w:r>
      <w:r w:rsidR="006E3FA4" w:rsidRPr="009B198E">
        <w:rPr>
          <w:rFonts w:ascii="Arial" w:eastAsia="Arial" w:hAnsi="Arial"/>
          <w:color w:val="000000"/>
          <w:sz w:val="24"/>
        </w:rPr>
        <w:t xml:space="preserve"> (see also HNTUF checklist</w:t>
      </w:r>
      <w:r w:rsidR="009B198E">
        <w:rPr>
          <w:rFonts w:ascii="Arial" w:eastAsia="Arial" w:hAnsi="Arial"/>
          <w:color w:val="000000"/>
          <w:sz w:val="24"/>
        </w:rPr>
        <w:t xml:space="preserve"> for all considerations</w:t>
      </w:r>
      <w:r w:rsidR="006E3FA4" w:rsidRPr="009B198E">
        <w:rPr>
          <w:rFonts w:ascii="Arial" w:eastAsia="Arial" w:hAnsi="Arial"/>
          <w:color w:val="000000"/>
          <w:sz w:val="24"/>
        </w:rPr>
        <w:t>)</w:t>
      </w:r>
      <w:r w:rsidRPr="009B198E">
        <w:rPr>
          <w:rFonts w:ascii="Arial" w:eastAsia="Arial" w:hAnsi="Arial"/>
          <w:color w:val="000000"/>
          <w:sz w:val="24"/>
        </w:rPr>
        <w:t>:</w:t>
      </w:r>
    </w:p>
    <w:p w14:paraId="1A0774F3" w14:textId="77777777" w:rsidR="007F5546" w:rsidRDefault="002D11AF">
      <w:pPr>
        <w:numPr>
          <w:ilvl w:val="0"/>
          <w:numId w:val="1"/>
        </w:numPr>
        <w:tabs>
          <w:tab w:val="clear" w:pos="360"/>
          <w:tab w:val="left" w:pos="792"/>
        </w:tabs>
        <w:spacing w:before="14" w:line="317" w:lineRule="exact"/>
        <w:ind w:left="792" w:right="72" w:hanging="360"/>
        <w:jc w:val="both"/>
        <w:textAlignment w:val="baseline"/>
        <w:rPr>
          <w:rFonts w:ascii="Arial" w:eastAsia="Arial" w:hAnsi="Arial"/>
          <w:color w:val="000000"/>
          <w:sz w:val="24"/>
        </w:rPr>
      </w:pPr>
      <w:r>
        <w:rPr>
          <w:rFonts w:ascii="Arial" w:eastAsia="Arial" w:hAnsi="Arial"/>
          <w:color w:val="000000"/>
          <w:sz w:val="24"/>
        </w:rPr>
        <w:t xml:space="preserve">Overview of total HNTUF being received, for how many pupils and how this is currently being </w:t>
      </w:r>
      <w:proofErr w:type="spellStart"/>
      <w:proofErr w:type="gramStart"/>
      <w:r>
        <w:rPr>
          <w:rFonts w:ascii="Arial" w:eastAsia="Arial" w:hAnsi="Arial"/>
          <w:color w:val="000000"/>
          <w:sz w:val="24"/>
        </w:rPr>
        <w:t>utilised</w:t>
      </w:r>
      <w:proofErr w:type="spellEnd"/>
      <w:proofErr w:type="gramEnd"/>
    </w:p>
    <w:p w14:paraId="2B1E468D" w14:textId="77777777" w:rsidR="007F5546" w:rsidRDefault="002D11AF">
      <w:pPr>
        <w:numPr>
          <w:ilvl w:val="0"/>
          <w:numId w:val="1"/>
        </w:numPr>
        <w:tabs>
          <w:tab w:val="clear" w:pos="360"/>
          <w:tab w:val="left" w:pos="792"/>
        </w:tabs>
        <w:spacing w:before="19" w:line="317" w:lineRule="exact"/>
        <w:ind w:left="792" w:right="72" w:hanging="360"/>
        <w:jc w:val="both"/>
        <w:textAlignment w:val="baseline"/>
        <w:rPr>
          <w:rFonts w:ascii="Arial" w:eastAsia="Arial" w:hAnsi="Arial"/>
          <w:color w:val="000000"/>
          <w:sz w:val="24"/>
        </w:rPr>
      </w:pPr>
      <w:r>
        <w:rPr>
          <w:rFonts w:ascii="Arial" w:eastAsia="Arial" w:hAnsi="Arial"/>
          <w:color w:val="000000"/>
          <w:sz w:val="24"/>
        </w:rPr>
        <w:t>Reviewed SEN Support Plan with signed parental consent (signed within last 6 weeks)</w:t>
      </w:r>
    </w:p>
    <w:p w14:paraId="43855282" w14:textId="0B70DD22" w:rsidR="007F5546" w:rsidRPr="009B198E" w:rsidRDefault="002D11AF">
      <w:pPr>
        <w:numPr>
          <w:ilvl w:val="0"/>
          <w:numId w:val="1"/>
        </w:numPr>
        <w:tabs>
          <w:tab w:val="clear" w:pos="360"/>
          <w:tab w:val="left" w:pos="792"/>
        </w:tabs>
        <w:spacing w:before="35" w:line="297" w:lineRule="exact"/>
        <w:ind w:left="792" w:right="72" w:hanging="360"/>
        <w:jc w:val="both"/>
        <w:textAlignment w:val="baseline"/>
        <w:rPr>
          <w:rFonts w:ascii="Arial" w:eastAsia="Arial" w:hAnsi="Arial"/>
          <w:color w:val="000000"/>
          <w:spacing w:val="-1"/>
          <w:sz w:val="24"/>
        </w:rPr>
      </w:pPr>
      <w:r w:rsidRPr="009B198E">
        <w:rPr>
          <w:rFonts w:ascii="Arial" w:eastAsia="Arial" w:hAnsi="Arial"/>
          <w:color w:val="000000"/>
          <w:spacing w:val="-1"/>
          <w:sz w:val="24"/>
        </w:rPr>
        <w:t>Costed timetable of the child’s provision or the provision that is to be in place</w:t>
      </w:r>
      <w:r w:rsidR="00C6333B" w:rsidRPr="009B198E">
        <w:rPr>
          <w:rFonts w:ascii="Arial" w:eastAsia="Arial" w:hAnsi="Arial"/>
          <w:color w:val="000000"/>
          <w:spacing w:val="-1"/>
          <w:sz w:val="24"/>
        </w:rPr>
        <w:t xml:space="preserve">, ensuring that the first 12.85 hours/£6,000 of support is being fully </w:t>
      </w:r>
      <w:proofErr w:type="spellStart"/>
      <w:proofErr w:type="gramStart"/>
      <w:r w:rsidR="00C6333B" w:rsidRPr="009B198E">
        <w:rPr>
          <w:rFonts w:ascii="Arial" w:eastAsia="Arial" w:hAnsi="Arial"/>
          <w:color w:val="000000"/>
          <w:spacing w:val="-1"/>
          <w:sz w:val="24"/>
        </w:rPr>
        <w:t>utilised</w:t>
      </w:r>
      <w:proofErr w:type="spellEnd"/>
      <w:proofErr w:type="gramEnd"/>
    </w:p>
    <w:p w14:paraId="6CBB2369" w14:textId="7D5A3AF6" w:rsidR="007F5546" w:rsidRDefault="002D11AF">
      <w:pPr>
        <w:numPr>
          <w:ilvl w:val="0"/>
          <w:numId w:val="1"/>
        </w:numPr>
        <w:tabs>
          <w:tab w:val="clear" w:pos="360"/>
          <w:tab w:val="left" w:pos="792"/>
        </w:tabs>
        <w:spacing w:before="18" w:line="317" w:lineRule="exact"/>
        <w:ind w:left="792" w:right="72" w:hanging="360"/>
        <w:jc w:val="both"/>
        <w:textAlignment w:val="baseline"/>
        <w:rPr>
          <w:rFonts w:ascii="Arial" w:eastAsia="Arial" w:hAnsi="Arial"/>
          <w:color w:val="000000"/>
          <w:sz w:val="24"/>
        </w:rPr>
      </w:pPr>
      <w:r>
        <w:rPr>
          <w:rFonts w:ascii="Arial" w:eastAsia="Arial" w:hAnsi="Arial"/>
          <w:color w:val="000000"/>
          <w:sz w:val="24"/>
        </w:rPr>
        <w:t xml:space="preserve">Ensure the provision on the timetable is specific (what, by whom, staff to child ratio, location) and based on evidence-based </w:t>
      </w:r>
      <w:proofErr w:type="gramStart"/>
      <w:r>
        <w:rPr>
          <w:rFonts w:ascii="Arial" w:eastAsia="Arial" w:hAnsi="Arial"/>
          <w:color w:val="000000"/>
          <w:sz w:val="24"/>
        </w:rPr>
        <w:t>approaches</w:t>
      </w:r>
      <w:proofErr w:type="gramEnd"/>
    </w:p>
    <w:p w14:paraId="0994DBB8" w14:textId="538C58CE" w:rsidR="00C6333B" w:rsidRPr="009B198E" w:rsidRDefault="00C6333B">
      <w:pPr>
        <w:numPr>
          <w:ilvl w:val="0"/>
          <w:numId w:val="1"/>
        </w:numPr>
        <w:tabs>
          <w:tab w:val="clear" w:pos="360"/>
          <w:tab w:val="left" w:pos="792"/>
        </w:tabs>
        <w:spacing w:before="18" w:line="317" w:lineRule="exact"/>
        <w:ind w:left="792" w:right="72" w:hanging="360"/>
        <w:jc w:val="both"/>
        <w:textAlignment w:val="baseline"/>
        <w:rPr>
          <w:rFonts w:ascii="Arial" w:eastAsia="Arial" w:hAnsi="Arial"/>
          <w:color w:val="000000"/>
          <w:sz w:val="24"/>
        </w:rPr>
      </w:pPr>
      <w:r w:rsidRPr="009B198E">
        <w:rPr>
          <w:rFonts w:ascii="Arial" w:eastAsia="Arial" w:hAnsi="Arial"/>
          <w:color w:val="000000"/>
          <w:sz w:val="24"/>
        </w:rPr>
        <w:t xml:space="preserve">SENCo, or where this is not the case, senior member of staff has signed the HNTUF application. </w:t>
      </w:r>
    </w:p>
    <w:p w14:paraId="59527BE1" w14:textId="0C6C4903" w:rsidR="00C6333B" w:rsidRPr="001611C0" w:rsidRDefault="002D11AF" w:rsidP="001611C0">
      <w:pPr>
        <w:numPr>
          <w:ilvl w:val="0"/>
          <w:numId w:val="1"/>
        </w:numPr>
        <w:tabs>
          <w:tab w:val="clear" w:pos="360"/>
          <w:tab w:val="left" w:pos="792"/>
        </w:tabs>
        <w:spacing w:before="22" w:after="703" w:line="317" w:lineRule="exact"/>
        <w:ind w:left="792" w:right="648" w:hanging="360"/>
        <w:textAlignment w:val="baseline"/>
        <w:rPr>
          <w:rFonts w:ascii="Arial" w:eastAsia="Arial" w:hAnsi="Arial"/>
          <w:color w:val="000000"/>
          <w:sz w:val="24"/>
        </w:rPr>
        <w:sectPr w:rsidR="00C6333B" w:rsidRPr="001611C0">
          <w:pgSz w:w="11909" w:h="16838"/>
          <w:pgMar w:top="1320" w:right="1448" w:bottom="602" w:left="1381" w:header="720" w:footer="720" w:gutter="0"/>
          <w:cols w:space="720"/>
        </w:sectPr>
      </w:pPr>
      <w:r>
        <w:rPr>
          <w:rFonts w:ascii="Arial" w:eastAsia="Arial" w:hAnsi="Arial"/>
          <w:color w:val="000000"/>
          <w:sz w:val="24"/>
        </w:rPr>
        <w:t>Start date the provision is planned to be in place from and until (</w:t>
      </w:r>
      <w:r>
        <w:rPr>
          <w:rFonts w:ascii="Arial" w:eastAsia="Arial" w:hAnsi="Arial"/>
          <w:i/>
          <w:color w:val="000000"/>
          <w:sz w:val="24"/>
        </w:rPr>
        <w:t>typically maximum of 2 terms will be agreed</w:t>
      </w:r>
    </w:p>
    <w:p w14:paraId="31A94DFB" w14:textId="2DC0723D" w:rsidR="007F5546" w:rsidRPr="001611C0" w:rsidRDefault="007F5546" w:rsidP="001611C0">
      <w:pPr>
        <w:spacing w:before="2" w:line="272" w:lineRule="exact"/>
        <w:textAlignment w:val="baseline"/>
        <w:rPr>
          <w:rFonts w:ascii="Arial" w:eastAsia="Arial" w:hAnsi="Arial"/>
          <w:color w:val="000000"/>
          <w:sz w:val="24"/>
        </w:rPr>
        <w:sectPr w:rsidR="007F5546" w:rsidRPr="001611C0">
          <w:type w:val="continuous"/>
          <w:pgSz w:w="11909" w:h="16838"/>
          <w:pgMar w:top="1320" w:right="1412" w:bottom="602" w:left="1417" w:header="720" w:footer="720" w:gutter="0"/>
          <w:cols w:space="720"/>
        </w:sectPr>
      </w:pPr>
    </w:p>
    <w:p w14:paraId="47215C51" w14:textId="77777777" w:rsidR="007F5546" w:rsidRPr="001611C0" w:rsidRDefault="006C4BFC" w:rsidP="001611C0">
      <w:pPr>
        <w:pStyle w:val="ListParagraph"/>
        <w:numPr>
          <w:ilvl w:val="0"/>
          <w:numId w:val="3"/>
        </w:numPr>
        <w:tabs>
          <w:tab w:val="left" w:pos="360"/>
          <w:tab w:val="left" w:pos="792"/>
        </w:tabs>
        <w:spacing w:before="81" w:line="317" w:lineRule="exact"/>
        <w:ind w:right="1008"/>
        <w:textAlignment w:val="baseline"/>
        <w:rPr>
          <w:rFonts w:ascii="Arial" w:eastAsia="Arial" w:hAnsi="Arial"/>
          <w:color w:val="000000"/>
          <w:sz w:val="24"/>
        </w:rPr>
      </w:pPr>
      <w:r>
        <w:pict w14:anchorId="394F43B4">
          <v:shape id="_x0000_s1034" type="#_x0000_t202" style="position:absolute;left:0;text-align:left;margin-left:68.45pt;margin-top:187.9pt;width:455.7pt;height:465.85pt;z-index:-251661824;mso-wrap-distance-left:0;mso-wrap-distance-right:0;mso-position-horizontal-relative:page;mso-position-vertical-relative:page" filled="f" stroked="f">
            <v:textbox inset="0,0,0,0">
              <w:txbxContent>
                <w:p w14:paraId="1035D7DB" w14:textId="77777777" w:rsidR="007F5546" w:rsidRDefault="002D11AF">
                  <w:pPr>
                    <w:ind w:left="47"/>
                    <w:textAlignment w:val="baseline"/>
                  </w:pPr>
                  <w:r>
                    <w:rPr>
                      <w:noProof/>
                    </w:rPr>
                    <w:drawing>
                      <wp:inline distT="0" distB="0" distL="0" distR="0" wp14:anchorId="0F0C929C" wp14:editId="70612F61">
                        <wp:extent cx="5757545" cy="591629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7"/>
                                <a:stretch>
                                  <a:fillRect/>
                                </a:stretch>
                              </pic:blipFill>
                              <pic:spPr>
                                <a:xfrm>
                                  <a:off x="0" y="0"/>
                                  <a:ext cx="5757545" cy="5916295"/>
                                </a:xfrm>
                                <a:prstGeom prst="rect">
                                  <a:avLst/>
                                </a:prstGeom>
                              </pic:spPr>
                            </pic:pic>
                          </a:graphicData>
                        </a:graphic>
                      </wp:inline>
                    </w:drawing>
                  </w:r>
                </w:p>
              </w:txbxContent>
            </v:textbox>
            <w10:wrap anchorx="page" anchory="page"/>
          </v:shape>
        </w:pict>
      </w:r>
      <w:r w:rsidR="002D11AF" w:rsidRPr="001611C0">
        <w:rPr>
          <w:rFonts w:ascii="Arial" w:eastAsia="Arial" w:hAnsi="Arial"/>
          <w:color w:val="000000"/>
          <w:sz w:val="24"/>
        </w:rPr>
        <w:t xml:space="preserve">Where applicable, reports from relevant professionals that support or recommend the provision to be in </w:t>
      </w:r>
      <w:proofErr w:type="gramStart"/>
      <w:r w:rsidR="002D11AF" w:rsidRPr="001611C0">
        <w:rPr>
          <w:rFonts w:ascii="Arial" w:eastAsia="Arial" w:hAnsi="Arial"/>
          <w:color w:val="000000"/>
          <w:sz w:val="24"/>
        </w:rPr>
        <w:t>place</w:t>
      </w:r>
      <w:proofErr w:type="gramEnd"/>
    </w:p>
    <w:p w14:paraId="65DF69DD" w14:textId="50F2F2FB" w:rsidR="007F5546" w:rsidRDefault="002D11AF">
      <w:pPr>
        <w:numPr>
          <w:ilvl w:val="0"/>
          <w:numId w:val="1"/>
        </w:numPr>
        <w:tabs>
          <w:tab w:val="clear" w:pos="360"/>
          <w:tab w:val="left" w:pos="792"/>
        </w:tabs>
        <w:spacing w:before="18" w:line="317" w:lineRule="exact"/>
        <w:ind w:left="792" w:right="432" w:hanging="360"/>
        <w:jc w:val="both"/>
        <w:textAlignment w:val="baseline"/>
        <w:rPr>
          <w:rFonts w:ascii="Arial" w:eastAsia="Arial" w:hAnsi="Arial"/>
          <w:color w:val="000000"/>
          <w:sz w:val="24"/>
        </w:rPr>
      </w:pPr>
      <w:r>
        <w:rPr>
          <w:rFonts w:ascii="Arial" w:eastAsia="Arial" w:hAnsi="Arial"/>
          <w:color w:val="000000"/>
          <w:sz w:val="24"/>
        </w:rPr>
        <w:t xml:space="preserve">For group top-up funding requests, please include a SEN Support Plan for each pupil and a costed timetable for the </w:t>
      </w:r>
      <w:proofErr w:type="gramStart"/>
      <w:r>
        <w:rPr>
          <w:rFonts w:ascii="Arial" w:eastAsia="Arial" w:hAnsi="Arial"/>
          <w:color w:val="000000"/>
          <w:sz w:val="24"/>
        </w:rPr>
        <w:t>group</w:t>
      </w:r>
      <w:proofErr w:type="gramEnd"/>
    </w:p>
    <w:p w14:paraId="13605EED" w14:textId="522DC1CD" w:rsidR="00617E11" w:rsidRPr="009B198E" w:rsidRDefault="00617E11">
      <w:pPr>
        <w:numPr>
          <w:ilvl w:val="0"/>
          <w:numId w:val="1"/>
        </w:numPr>
        <w:tabs>
          <w:tab w:val="clear" w:pos="360"/>
          <w:tab w:val="left" w:pos="792"/>
        </w:tabs>
        <w:spacing w:before="18" w:line="317" w:lineRule="exact"/>
        <w:ind w:left="792" w:right="432" w:hanging="360"/>
        <w:jc w:val="both"/>
        <w:textAlignment w:val="baseline"/>
        <w:rPr>
          <w:rFonts w:ascii="Arial" w:eastAsia="Arial" w:hAnsi="Arial"/>
          <w:color w:val="000000"/>
          <w:sz w:val="24"/>
        </w:rPr>
      </w:pPr>
      <w:r w:rsidRPr="009B198E">
        <w:rPr>
          <w:rFonts w:ascii="Arial" w:eastAsia="Arial" w:hAnsi="Arial"/>
          <w:color w:val="000000"/>
          <w:sz w:val="24"/>
        </w:rPr>
        <w:t xml:space="preserve">If a HNTUF request is being made at the same time as an EHC needs assessment request, please note that separate paperwork will need to be submitted for each </w:t>
      </w:r>
      <w:proofErr w:type="gramStart"/>
      <w:r w:rsidRPr="009B198E">
        <w:rPr>
          <w:rFonts w:ascii="Arial" w:eastAsia="Arial" w:hAnsi="Arial"/>
          <w:color w:val="000000"/>
          <w:sz w:val="24"/>
        </w:rPr>
        <w:t>request</w:t>
      </w:r>
      <w:proofErr w:type="gramEnd"/>
      <w:r w:rsidRPr="009B198E">
        <w:rPr>
          <w:rFonts w:ascii="Arial" w:eastAsia="Arial" w:hAnsi="Arial"/>
          <w:color w:val="000000"/>
          <w:sz w:val="24"/>
        </w:rPr>
        <w:t xml:space="preserve"> </w:t>
      </w:r>
    </w:p>
    <w:p w14:paraId="46ED2657" w14:textId="77777777" w:rsidR="007F5546" w:rsidRDefault="002D11AF">
      <w:pPr>
        <w:spacing w:before="362" w:line="273" w:lineRule="exact"/>
        <w:textAlignment w:val="baseline"/>
        <w:rPr>
          <w:rFonts w:ascii="Arial" w:eastAsia="Arial" w:hAnsi="Arial"/>
          <w:i/>
          <w:color w:val="000000"/>
          <w:sz w:val="24"/>
        </w:rPr>
      </w:pPr>
      <w:r w:rsidRPr="00617E11">
        <w:rPr>
          <w:rFonts w:ascii="Arial" w:eastAsia="Arial" w:hAnsi="Arial"/>
          <w:i/>
          <w:color w:val="000000"/>
          <w:sz w:val="24"/>
          <w:highlight w:val="yellow"/>
        </w:rPr>
        <w:t>(</w:t>
      </w:r>
      <w:proofErr w:type="gramStart"/>
      <w:r w:rsidRPr="00617E11">
        <w:rPr>
          <w:rFonts w:ascii="Arial" w:eastAsia="Arial" w:hAnsi="Arial"/>
          <w:i/>
          <w:color w:val="000000"/>
          <w:sz w:val="24"/>
          <w:highlight w:val="yellow"/>
        </w:rPr>
        <w:t>add</w:t>
      </w:r>
      <w:proofErr w:type="gramEnd"/>
      <w:r w:rsidRPr="00617E11">
        <w:rPr>
          <w:rFonts w:ascii="Arial" w:eastAsia="Arial" w:hAnsi="Arial"/>
          <w:i/>
          <w:color w:val="000000"/>
          <w:sz w:val="24"/>
          <w:highlight w:val="yellow"/>
        </w:rPr>
        <w:t xml:space="preserve"> link to SEN Support Plan)</w:t>
      </w:r>
    </w:p>
    <w:p w14:paraId="12E4B665" w14:textId="0CBF2B12" w:rsidR="007F5546" w:rsidRDefault="002D11AF">
      <w:pPr>
        <w:spacing w:before="315" w:line="317" w:lineRule="exact"/>
        <w:ind w:right="504"/>
        <w:textAlignment w:val="baseline"/>
        <w:rPr>
          <w:rFonts w:ascii="Arial" w:eastAsia="Arial" w:hAnsi="Arial"/>
          <w:color w:val="000000"/>
          <w:sz w:val="24"/>
        </w:rPr>
      </w:pPr>
      <w:r w:rsidRPr="009B198E">
        <w:rPr>
          <w:rFonts w:ascii="Arial" w:eastAsia="Arial" w:hAnsi="Arial"/>
          <w:color w:val="000000"/>
          <w:sz w:val="24"/>
        </w:rPr>
        <w:t xml:space="preserve">You will be notified </w:t>
      </w:r>
      <w:r w:rsidR="00617E11" w:rsidRPr="009B198E">
        <w:rPr>
          <w:rFonts w:ascii="Arial" w:eastAsia="Arial" w:hAnsi="Arial"/>
          <w:color w:val="000000"/>
          <w:sz w:val="24"/>
        </w:rPr>
        <w:t xml:space="preserve">by email </w:t>
      </w:r>
      <w:r w:rsidR="009B198E" w:rsidRPr="009B198E">
        <w:rPr>
          <w:rFonts w:ascii="Arial" w:eastAsia="Arial" w:hAnsi="Arial"/>
          <w:color w:val="000000"/>
          <w:sz w:val="24"/>
        </w:rPr>
        <w:t xml:space="preserve">from the SEND Support Line </w:t>
      </w:r>
      <w:r w:rsidRPr="009B198E">
        <w:rPr>
          <w:rFonts w:ascii="Arial" w:eastAsia="Arial" w:hAnsi="Arial"/>
          <w:color w:val="000000"/>
          <w:sz w:val="24"/>
        </w:rPr>
        <w:t>of the decision</w:t>
      </w:r>
      <w:r w:rsidR="009B198E" w:rsidRPr="009B198E">
        <w:rPr>
          <w:rFonts w:ascii="Arial" w:eastAsia="Arial" w:hAnsi="Arial"/>
          <w:color w:val="000000"/>
          <w:sz w:val="24"/>
        </w:rPr>
        <w:t xml:space="preserve"> by the end of the half term in which the application was submitted following discussion at the SEND Inclusion Forum.</w:t>
      </w:r>
      <w:r w:rsidR="009B198E">
        <w:rPr>
          <w:rFonts w:ascii="Arial" w:eastAsia="Arial" w:hAnsi="Arial"/>
          <w:color w:val="000000"/>
          <w:sz w:val="24"/>
        </w:rPr>
        <w:t xml:space="preserve"> </w:t>
      </w:r>
      <w:r>
        <w:rPr>
          <w:rFonts w:ascii="Arial" w:eastAsia="Arial" w:hAnsi="Arial"/>
          <w:color w:val="000000"/>
          <w:sz w:val="24"/>
        </w:rPr>
        <w:t xml:space="preserve"> </w:t>
      </w:r>
    </w:p>
    <w:p w14:paraId="1A279294" w14:textId="77777777" w:rsidR="001611C0" w:rsidRDefault="001611C0">
      <w:pPr>
        <w:spacing w:before="315" w:line="317" w:lineRule="exact"/>
        <w:ind w:right="504"/>
        <w:textAlignment w:val="baseline"/>
        <w:rPr>
          <w:rFonts w:ascii="Arial" w:eastAsia="Arial" w:hAnsi="Arial"/>
          <w:color w:val="000000"/>
          <w:sz w:val="24"/>
        </w:rPr>
      </w:pPr>
    </w:p>
    <w:p w14:paraId="672C1369" w14:textId="77777777" w:rsidR="001611C0" w:rsidRDefault="001611C0" w:rsidP="001611C0">
      <w:pPr>
        <w:rPr>
          <w:rFonts w:ascii="Arial" w:eastAsiaTheme="minorEastAsia" w:hAnsi="Arial" w:cs="Arial"/>
          <w:b/>
          <w:bCs/>
          <w:sz w:val="24"/>
          <w:szCs w:val="24"/>
        </w:rPr>
      </w:pPr>
      <w:r w:rsidRPr="001611C0">
        <w:rPr>
          <w:rFonts w:ascii="Arial" w:eastAsiaTheme="minorEastAsia" w:hAnsi="Arial" w:cs="Arial"/>
          <w:b/>
          <w:bCs/>
          <w:sz w:val="24"/>
          <w:szCs w:val="24"/>
        </w:rPr>
        <w:t>6. Continuation of HNTUF</w:t>
      </w:r>
    </w:p>
    <w:p w14:paraId="3EF4BA82" w14:textId="77777777" w:rsidR="001611C0" w:rsidRPr="001611C0" w:rsidRDefault="001611C0" w:rsidP="001611C0">
      <w:pPr>
        <w:rPr>
          <w:rFonts w:ascii="Arial" w:eastAsiaTheme="minorEastAsia" w:hAnsi="Arial" w:cs="Arial"/>
          <w:b/>
          <w:bCs/>
          <w:sz w:val="24"/>
          <w:szCs w:val="24"/>
        </w:rPr>
      </w:pPr>
    </w:p>
    <w:p w14:paraId="569C3535" w14:textId="3C5D6D04" w:rsidR="001611C0" w:rsidRPr="001611C0" w:rsidRDefault="001611C0" w:rsidP="001611C0">
      <w:pPr>
        <w:rPr>
          <w:rFonts w:ascii="Arial" w:eastAsiaTheme="minorEastAsia" w:hAnsi="Arial" w:cs="Arial"/>
          <w:sz w:val="24"/>
          <w:szCs w:val="24"/>
        </w:rPr>
      </w:pPr>
      <w:r w:rsidRPr="001611C0">
        <w:rPr>
          <w:rFonts w:ascii="Arial" w:eastAsiaTheme="minorEastAsia" w:hAnsi="Arial" w:cs="Arial"/>
          <w:sz w:val="24"/>
          <w:szCs w:val="24"/>
        </w:rPr>
        <w:t xml:space="preserve">Requests for a continuation of funding must be made in the term prior to funding end date, schools to note that a failure to do so may result in a gap in funding received which the SEND Inclusion Forum will not be responsible for. </w:t>
      </w:r>
    </w:p>
    <w:p w14:paraId="53CF6681" w14:textId="77777777" w:rsidR="001611C0" w:rsidRDefault="001611C0">
      <w:pPr>
        <w:spacing w:before="315" w:line="317" w:lineRule="exact"/>
        <w:ind w:right="504"/>
        <w:textAlignment w:val="baseline"/>
        <w:rPr>
          <w:rFonts w:ascii="Arial" w:eastAsia="Arial" w:hAnsi="Arial"/>
          <w:color w:val="000000"/>
          <w:sz w:val="24"/>
        </w:rPr>
      </w:pPr>
    </w:p>
    <w:p w14:paraId="6B35EB8C" w14:textId="2220FD27" w:rsidR="007F5546" w:rsidRDefault="001611C0">
      <w:pPr>
        <w:tabs>
          <w:tab w:val="left" w:pos="792"/>
        </w:tabs>
        <w:spacing w:before="684" w:line="272" w:lineRule="exact"/>
        <w:textAlignment w:val="baseline"/>
        <w:rPr>
          <w:rFonts w:ascii="Arial" w:eastAsia="Arial" w:hAnsi="Arial"/>
          <w:b/>
          <w:color w:val="000000"/>
          <w:spacing w:val="-2"/>
          <w:sz w:val="24"/>
        </w:rPr>
      </w:pPr>
      <w:r>
        <w:rPr>
          <w:rFonts w:ascii="Arial" w:eastAsia="Arial" w:hAnsi="Arial"/>
          <w:b/>
          <w:color w:val="000000"/>
          <w:spacing w:val="-2"/>
          <w:sz w:val="24"/>
        </w:rPr>
        <w:t>7</w:t>
      </w:r>
      <w:r w:rsidR="002D11AF">
        <w:rPr>
          <w:rFonts w:ascii="Arial" w:eastAsia="Arial" w:hAnsi="Arial"/>
          <w:b/>
          <w:color w:val="000000"/>
          <w:spacing w:val="-2"/>
          <w:sz w:val="24"/>
        </w:rPr>
        <w:t>.</w:t>
      </w:r>
      <w:r w:rsidR="002D11AF">
        <w:rPr>
          <w:rFonts w:ascii="Arial" w:eastAsia="Arial" w:hAnsi="Arial"/>
          <w:b/>
          <w:color w:val="000000"/>
          <w:spacing w:val="-2"/>
          <w:sz w:val="24"/>
        </w:rPr>
        <w:tab/>
        <w:t>Equipment funding</w:t>
      </w:r>
    </w:p>
    <w:p w14:paraId="0E9A562B" w14:textId="77777777" w:rsidR="007F5546" w:rsidRDefault="002D11AF">
      <w:pPr>
        <w:spacing w:before="316" w:line="317" w:lineRule="exact"/>
        <w:ind w:right="936"/>
        <w:textAlignment w:val="baseline"/>
        <w:rPr>
          <w:rFonts w:ascii="Arial" w:eastAsia="Arial" w:hAnsi="Arial"/>
          <w:color w:val="000000"/>
          <w:sz w:val="24"/>
        </w:rPr>
      </w:pPr>
      <w:r>
        <w:rPr>
          <w:rFonts w:ascii="Arial" w:eastAsia="Arial" w:hAnsi="Arial"/>
          <w:color w:val="000000"/>
          <w:sz w:val="24"/>
        </w:rPr>
        <w:t xml:space="preserve">Equipment funding requests will be considered for items that are over £500 - excluding VAT. For an equipment funding </w:t>
      </w:r>
      <w:proofErr w:type="gramStart"/>
      <w:r>
        <w:rPr>
          <w:rFonts w:ascii="Arial" w:eastAsia="Arial" w:hAnsi="Arial"/>
          <w:color w:val="000000"/>
          <w:sz w:val="24"/>
        </w:rPr>
        <w:t>request</w:t>
      </w:r>
      <w:proofErr w:type="gramEnd"/>
      <w:r>
        <w:rPr>
          <w:rFonts w:ascii="Arial" w:eastAsia="Arial" w:hAnsi="Arial"/>
          <w:color w:val="000000"/>
          <w:sz w:val="24"/>
        </w:rPr>
        <w:t xml:space="preserve"> you will need to provide;</w:t>
      </w:r>
    </w:p>
    <w:p w14:paraId="51E87049" w14:textId="77777777" w:rsidR="007F5546" w:rsidRDefault="002D11AF">
      <w:pPr>
        <w:numPr>
          <w:ilvl w:val="0"/>
          <w:numId w:val="1"/>
        </w:numPr>
        <w:tabs>
          <w:tab w:val="clear" w:pos="360"/>
          <w:tab w:val="left" w:pos="792"/>
        </w:tabs>
        <w:spacing w:before="19" w:line="317" w:lineRule="exact"/>
        <w:ind w:left="792" w:right="504" w:hanging="360"/>
        <w:textAlignment w:val="baseline"/>
        <w:rPr>
          <w:rFonts w:ascii="Arial" w:eastAsia="Arial" w:hAnsi="Arial"/>
          <w:color w:val="000000"/>
          <w:spacing w:val="-1"/>
          <w:sz w:val="24"/>
        </w:rPr>
      </w:pPr>
      <w:r>
        <w:rPr>
          <w:rFonts w:ascii="Arial" w:eastAsia="Arial" w:hAnsi="Arial"/>
          <w:color w:val="000000"/>
          <w:spacing w:val="-1"/>
          <w:sz w:val="24"/>
        </w:rPr>
        <w:t xml:space="preserve">The external agency report stating that the equipment is required </w:t>
      </w:r>
      <w:r>
        <w:rPr>
          <w:rFonts w:ascii="Arial" w:eastAsia="Arial" w:hAnsi="Arial"/>
          <w:color w:val="000000"/>
          <w:spacing w:val="-1"/>
          <w:sz w:val="25"/>
        </w:rPr>
        <w:t xml:space="preserve">– </w:t>
      </w:r>
      <w:r>
        <w:rPr>
          <w:rFonts w:ascii="Arial" w:eastAsia="Arial" w:hAnsi="Arial"/>
          <w:color w:val="000000"/>
          <w:spacing w:val="-1"/>
          <w:sz w:val="24"/>
        </w:rPr>
        <w:t xml:space="preserve">this is </w:t>
      </w:r>
      <w:r>
        <w:rPr>
          <w:rFonts w:ascii="Arial" w:eastAsia="Arial" w:hAnsi="Arial"/>
          <w:color w:val="000000"/>
          <w:spacing w:val="-1"/>
          <w:sz w:val="24"/>
        </w:rPr>
        <w:br/>
        <w:t>typically a report from the Sensory Team or Specialist Teaching Team</w:t>
      </w:r>
    </w:p>
    <w:p w14:paraId="5D2870FE" w14:textId="77777777" w:rsidR="007F5546" w:rsidRDefault="002D11AF">
      <w:pPr>
        <w:numPr>
          <w:ilvl w:val="0"/>
          <w:numId w:val="1"/>
        </w:numPr>
        <w:tabs>
          <w:tab w:val="clear" w:pos="360"/>
          <w:tab w:val="left" w:pos="792"/>
        </w:tabs>
        <w:spacing w:before="14" w:line="317" w:lineRule="exact"/>
        <w:ind w:left="792" w:right="144" w:hanging="360"/>
        <w:jc w:val="both"/>
        <w:textAlignment w:val="baseline"/>
        <w:rPr>
          <w:rFonts w:ascii="Arial" w:eastAsia="Arial" w:hAnsi="Arial"/>
          <w:color w:val="000000"/>
          <w:sz w:val="24"/>
        </w:rPr>
      </w:pPr>
      <w:r>
        <w:rPr>
          <w:rFonts w:ascii="Arial" w:eastAsia="Arial" w:hAnsi="Arial"/>
          <w:color w:val="000000"/>
          <w:sz w:val="24"/>
        </w:rPr>
        <w:t xml:space="preserve">The SEN Support Plan </w:t>
      </w:r>
      <w:r>
        <w:rPr>
          <w:rFonts w:ascii="Arial" w:eastAsia="Arial" w:hAnsi="Arial"/>
          <w:color w:val="000000"/>
          <w:sz w:val="25"/>
        </w:rPr>
        <w:t xml:space="preserve">– </w:t>
      </w:r>
      <w:r>
        <w:rPr>
          <w:rFonts w:ascii="Arial" w:eastAsia="Arial" w:hAnsi="Arial"/>
          <w:color w:val="000000"/>
          <w:sz w:val="24"/>
        </w:rPr>
        <w:t xml:space="preserve">or an explanation of why a SEN Support Plan is not </w:t>
      </w:r>
      <w:proofErr w:type="gramStart"/>
      <w:r>
        <w:rPr>
          <w:rFonts w:ascii="Arial" w:eastAsia="Arial" w:hAnsi="Arial"/>
          <w:color w:val="000000"/>
          <w:sz w:val="24"/>
        </w:rPr>
        <w:t>required</w:t>
      </w:r>
      <w:proofErr w:type="gramEnd"/>
    </w:p>
    <w:p w14:paraId="73839D42" w14:textId="77777777" w:rsidR="007F5546" w:rsidRDefault="002D11AF">
      <w:pPr>
        <w:spacing w:before="320" w:line="317" w:lineRule="exact"/>
        <w:textAlignment w:val="baseline"/>
        <w:rPr>
          <w:rFonts w:ascii="Arial" w:eastAsia="Arial" w:hAnsi="Arial"/>
          <w:color w:val="000000"/>
          <w:sz w:val="24"/>
        </w:rPr>
      </w:pPr>
      <w:r>
        <w:rPr>
          <w:rFonts w:ascii="Arial" w:eastAsia="Arial" w:hAnsi="Arial"/>
          <w:color w:val="000000"/>
          <w:sz w:val="24"/>
        </w:rPr>
        <w:t>Once the funding is agreed, school will be asked to purchase the agreed equipment and send the receipts showing purchase to</w:t>
      </w:r>
      <w:hyperlink r:id="rId18">
        <w:r>
          <w:rPr>
            <w:rFonts w:ascii="Arial" w:eastAsia="Arial" w:hAnsi="Arial"/>
            <w:color w:val="0000FF"/>
            <w:sz w:val="24"/>
            <w:u w:val="single"/>
          </w:rPr>
          <w:t xml:space="preserve"> SENDsupport@mtilon-keynes.gov.uk</w:t>
        </w:r>
      </w:hyperlink>
      <w:r>
        <w:rPr>
          <w:rFonts w:ascii="Arial" w:eastAsia="Arial" w:hAnsi="Arial"/>
          <w:color w:val="000000"/>
          <w:sz w:val="24"/>
        </w:rPr>
        <w:t xml:space="preserve">  .This will allow the funding to be released. As VAT can either be deducted at point of ordering or reclaimed following standard school budgeting procedures it is only the net amount that will be reimbursed to school.</w:t>
      </w:r>
    </w:p>
    <w:p w14:paraId="1B34D6C7" w14:textId="201BD71A" w:rsidR="007F5546" w:rsidRDefault="001611C0">
      <w:pPr>
        <w:tabs>
          <w:tab w:val="left" w:pos="792"/>
        </w:tabs>
        <w:spacing w:before="679" w:line="272" w:lineRule="exact"/>
        <w:textAlignment w:val="baseline"/>
        <w:rPr>
          <w:rFonts w:ascii="Arial" w:eastAsia="Arial" w:hAnsi="Arial"/>
          <w:b/>
          <w:color w:val="000000"/>
          <w:spacing w:val="-2"/>
          <w:sz w:val="24"/>
        </w:rPr>
      </w:pPr>
      <w:r>
        <w:rPr>
          <w:rFonts w:ascii="Arial" w:eastAsia="Arial" w:hAnsi="Arial"/>
          <w:b/>
          <w:color w:val="000000"/>
          <w:spacing w:val="-2"/>
          <w:sz w:val="24"/>
        </w:rPr>
        <w:t>8</w:t>
      </w:r>
      <w:r w:rsidR="002D11AF">
        <w:rPr>
          <w:rFonts w:ascii="Arial" w:eastAsia="Arial" w:hAnsi="Arial"/>
          <w:b/>
          <w:color w:val="000000"/>
          <w:spacing w:val="-2"/>
          <w:sz w:val="24"/>
        </w:rPr>
        <w:t>.</w:t>
      </w:r>
      <w:r w:rsidR="002D11AF">
        <w:rPr>
          <w:rFonts w:ascii="Arial" w:eastAsia="Arial" w:hAnsi="Arial"/>
          <w:b/>
          <w:color w:val="000000"/>
          <w:spacing w:val="-2"/>
          <w:sz w:val="24"/>
        </w:rPr>
        <w:tab/>
        <w:t>Appealing a decision</w:t>
      </w:r>
    </w:p>
    <w:p w14:paraId="745D3A8E" w14:textId="4190E0AB" w:rsidR="007F5546" w:rsidRPr="001611C0" w:rsidRDefault="002D11AF" w:rsidP="001611C0">
      <w:pPr>
        <w:spacing w:before="321" w:line="317" w:lineRule="exact"/>
        <w:ind w:right="288"/>
        <w:textAlignment w:val="baseline"/>
        <w:rPr>
          <w:rFonts w:ascii="Arial" w:eastAsia="Arial" w:hAnsi="Arial"/>
          <w:strike/>
          <w:color w:val="000000"/>
          <w:sz w:val="24"/>
        </w:rPr>
        <w:sectPr w:rsidR="007F5546" w:rsidRPr="001611C0">
          <w:pgSz w:w="11909" w:h="16838"/>
          <w:pgMar w:top="1320" w:right="1460" w:bottom="602" w:left="1369" w:header="720" w:footer="720" w:gutter="0"/>
          <w:cols w:space="720"/>
        </w:sectPr>
      </w:pPr>
      <w:r>
        <w:rPr>
          <w:rFonts w:ascii="Arial" w:eastAsia="Arial" w:hAnsi="Arial"/>
          <w:color w:val="000000"/>
          <w:sz w:val="24"/>
        </w:rPr>
        <w:t xml:space="preserve">Top-up funding decisions made at the SEND Inclusion </w:t>
      </w:r>
      <w:r w:rsidRPr="009B198E">
        <w:rPr>
          <w:rFonts w:ascii="Arial" w:eastAsia="Arial" w:hAnsi="Arial"/>
          <w:color w:val="000000"/>
          <w:sz w:val="24"/>
        </w:rPr>
        <w:t xml:space="preserve">Forum are final. </w:t>
      </w:r>
      <w:r w:rsidR="00617E11" w:rsidRPr="009B198E">
        <w:rPr>
          <w:rFonts w:ascii="Arial" w:eastAsia="Arial" w:hAnsi="Arial"/>
          <w:color w:val="000000"/>
          <w:sz w:val="24"/>
        </w:rPr>
        <w:t>However, further requests for HNTUF can be made during the next term with additional supporting information</w:t>
      </w:r>
      <w:r w:rsidR="009B198E" w:rsidRPr="009B198E">
        <w:rPr>
          <w:rFonts w:ascii="Arial" w:eastAsia="Arial" w:hAnsi="Arial"/>
          <w:color w:val="000000"/>
          <w:sz w:val="24"/>
        </w:rPr>
        <w:t xml:space="preserve"> or in accordance with feedback given</w:t>
      </w:r>
      <w:r w:rsidR="00617E11" w:rsidRPr="009B198E">
        <w:rPr>
          <w:rFonts w:ascii="Arial" w:eastAsia="Arial" w:hAnsi="Arial"/>
          <w:color w:val="000000"/>
          <w:sz w:val="24"/>
        </w:rPr>
        <w:t>.</w:t>
      </w:r>
      <w:r w:rsidR="00617E11">
        <w:rPr>
          <w:rFonts w:ascii="Arial" w:eastAsia="Arial" w:hAnsi="Arial"/>
          <w:color w:val="000000"/>
          <w:sz w:val="24"/>
        </w:rPr>
        <w:t xml:space="preserve"> </w:t>
      </w:r>
    </w:p>
    <w:p w14:paraId="379C5478" w14:textId="4D834F95" w:rsidR="007F5546" w:rsidRDefault="007F5546" w:rsidP="001611C0">
      <w:pPr>
        <w:spacing w:before="2" w:line="272" w:lineRule="exact"/>
        <w:textAlignment w:val="baseline"/>
        <w:rPr>
          <w:rFonts w:ascii="Arial" w:eastAsia="Arial" w:hAnsi="Arial"/>
          <w:color w:val="000000"/>
          <w:sz w:val="24"/>
        </w:rPr>
      </w:pPr>
    </w:p>
    <w:p w14:paraId="0361553E" w14:textId="77777777" w:rsidR="007F5546" w:rsidRDefault="007F5546">
      <w:pPr>
        <w:sectPr w:rsidR="007F5546">
          <w:type w:val="continuous"/>
          <w:pgSz w:w="11909" w:h="16838"/>
          <w:pgMar w:top="1320" w:right="1412" w:bottom="602" w:left="1417" w:header="720" w:footer="720" w:gutter="0"/>
          <w:cols w:space="720"/>
        </w:sectPr>
      </w:pPr>
    </w:p>
    <w:p w14:paraId="480FD03D" w14:textId="13A0536F" w:rsidR="007F5546" w:rsidRDefault="001611C0">
      <w:pPr>
        <w:tabs>
          <w:tab w:val="left" w:pos="720"/>
        </w:tabs>
        <w:spacing w:before="5" w:line="273" w:lineRule="exact"/>
        <w:textAlignment w:val="baseline"/>
        <w:rPr>
          <w:rFonts w:ascii="Arial" w:eastAsia="Arial" w:hAnsi="Arial"/>
          <w:b/>
          <w:color w:val="000000"/>
          <w:sz w:val="24"/>
        </w:rPr>
      </w:pPr>
      <w:r>
        <w:rPr>
          <w:rFonts w:ascii="Arial" w:eastAsia="Arial" w:hAnsi="Arial"/>
          <w:b/>
          <w:color w:val="000000"/>
          <w:sz w:val="24"/>
        </w:rPr>
        <w:t>9</w:t>
      </w:r>
      <w:r w:rsidR="002D11AF">
        <w:rPr>
          <w:rFonts w:ascii="Arial" w:eastAsia="Arial" w:hAnsi="Arial"/>
          <w:b/>
          <w:color w:val="000000"/>
          <w:sz w:val="24"/>
        </w:rPr>
        <w:t>.</w:t>
      </w:r>
      <w:r w:rsidR="002D11AF">
        <w:rPr>
          <w:rFonts w:ascii="Arial" w:eastAsia="Arial" w:hAnsi="Arial"/>
          <w:b/>
          <w:color w:val="000000"/>
          <w:sz w:val="24"/>
        </w:rPr>
        <w:tab/>
        <w:t>Monitoring of Top-Up Funding</w:t>
      </w:r>
    </w:p>
    <w:p w14:paraId="26BE276A" w14:textId="6193D00C" w:rsidR="007F5546" w:rsidRPr="001611C0" w:rsidRDefault="002D11AF" w:rsidP="001611C0">
      <w:pPr>
        <w:spacing w:before="317" w:after="356" w:line="316" w:lineRule="exact"/>
        <w:ind w:right="144"/>
        <w:jc w:val="both"/>
        <w:textAlignment w:val="baseline"/>
        <w:rPr>
          <w:rFonts w:ascii="Arial" w:eastAsia="Arial" w:hAnsi="Arial"/>
          <w:color w:val="000000"/>
          <w:spacing w:val="-1"/>
          <w:sz w:val="24"/>
        </w:rPr>
        <w:sectPr w:rsidR="007F5546" w:rsidRPr="001611C0">
          <w:pgSz w:w="11909" w:h="16838"/>
          <w:pgMar w:top="2060" w:right="1419" w:bottom="602" w:left="1410" w:header="720" w:footer="720" w:gutter="0"/>
          <w:cols w:space="720"/>
        </w:sectPr>
      </w:pPr>
      <w:r>
        <w:rPr>
          <w:rFonts w:ascii="Arial" w:eastAsia="Arial" w:hAnsi="Arial"/>
          <w:color w:val="000000"/>
          <w:spacing w:val="-1"/>
          <w:sz w:val="24"/>
        </w:rPr>
        <w:t>It is expected that the most appropriate SEND agency would continue to be involved with the pupil will meet termly to monitor provision in place and the impact of it.</w:t>
      </w:r>
    </w:p>
    <w:p w14:paraId="1E3CA202" w14:textId="1C6507B3" w:rsidR="007F5546" w:rsidRPr="001611C0" w:rsidRDefault="001611C0" w:rsidP="001611C0">
      <w:pPr>
        <w:spacing w:before="11639" w:line="288" w:lineRule="exact"/>
        <w:textAlignment w:val="baseline"/>
        <w:rPr>
          <w:rFonts w:eastAsia="Times New Roman"/>
          <w:color w:val="000000"/>
          <w:sz w:val="24"/>
        </w:rPr>
        <w:sectPr w:rsidR="007F5546" w:rsidRPr="001611C0">
          <w:type w:val="continuous"/>
          <w:pgSz w:w="11909" w:h="16838"/>
          <w:pgMar w:top="2060" w:right="1412" w:bottom="602" w:left="1410" w:header="720" w:footer="720" w:gutter="0"/>
          <w:cols w:space="720"/>
        </w:sectPr>
      </w:pPr>
      <w:r>
        <w:pict w14:anchorId="1363B80A">
          <v:shape id="_x0000_s1027" type="#_x0000_t202" style="position:absolute;margin-left:.8pt;margin-top:363.3pt;width:408.7pt;height:14.5pt;z-index:-251654656;mso-wrap-distance-left:0;mso-wrap-distance-right:0" filled="f" stroked="f">
            <v:textbox inset="0,0,0,0">
              <w:txbxContent>
                <w:p w14:paraId="51C704E0" w14:textId="77777777" w:rsidR="007F5546" w:rsidRDefault="002D11AF">
                  <w:pPr>
                    <w:spacing w:line="302" w:lineRule="exact"/>
                    <w:jc w:val="both"/>
                    <w:textAlignment w:val="baseline"/>
                    <w:rPr>
                      <w:rFonts w:ascii="Arial" w:eastAsia="Arial" w:hAnsi="Arial"/>
                      <w:color w:val="0000FF"/>
                      <w:spacing w:val="-3"/>
                      <w:sz w:val="24"/>
                      <w:u w:val="single"/>
                    </w:rPr>
                  </w:pPr>
                  <w:r>
                    <w:rPr>
                      <w:rFonts w:ascii="Arial" w:eastAsia="Arial" w:hAnsi="Arial"/>
                      <w:color w:val="0000FF"/>
                      <w:spacing w:val="-3"/>
                      <w:sz w:val="24"/>
                      <w:u w:val="single"/>
                    </w:rPr>
                    <w:t xml:space="preserve">High needs funding: 2023 to 2024 operational guide - </w:t>
                  </w:r>
                  <w:hyperlink r:id="rId19">
                    <w:r>
                      <w:rPr>
                        <w:rFonts w:ascii="Arial" w:eastAsia="Arial" w:hAnsi="Arial"/>
                        <w:color w:val="0000FF"/>
                        <w:spacing w:val="-3"/>
                        <w:sz w:val="24"/>
                        <w:u w:val="single"/>
                      </w:rPr>
                      <w:t>GOV.UK</w:t>
                    </w:r>
                  </w:hyperlink>
                  <w:r>
                    <w:rPr>
                      <w:rFonts w:ascii="Arial" w:eastAsia="Arial" w:hAnsi="Arial"/>
                      <w:color w:val="0000FF"/>
                      <w:spacing w:val="-3"/>
                      <w:sz w:val="24"/>
                      <w:u w:val="single"/>
                    </w:rPr>
                    <w:t xml:space="preserve"> (</w:t>
                  </w:r>
                  <w:hyperlink r:id="rId20">
                    <w:r>
                      <w:rPr>
                        <w:rFonts w:ascii="Arial" w:eastAsia="Arial" w:hAnsi="Arial"/>
                        <w:color w:val="0000FF"/>
                        <w:spacing w:val="-3"/>
                        <w:sz w:val="24"/>
                        <w:u w:val="single"/>
                      </w:rPr>
                      <w:t>www.gov.uk</w:t>
                    </w:r>
                  </w:hyperlink>
                  <w:r>
                    <w:rPr>
                      <w:rFonts w:ascii="Arial" w:eastAsia="Arial" w:hAnsi="Arial"/>
                      <w:color w:val="0000FF"/>
                      <w:spacing w:val="-3"/>
                      <w:sz w:val="24"/>
                      <w:u w:val="single"/>
                    </w:rPr>
                    <w:t xml:space="preserve">) </w:t>
                  </w:r>
                </w:p>
              </w:txbxContent>
            </v:textbox>
          </v:shape>
        </w:pict>
      </w:r>
      <w:r>
        <w:pict w14:anchorId="30E51AB9">
          <v:shape id="_x0000_s1033" type="#_x0000_t202" style="position:absolute;margin-left:0;margin-top:0;width:454pt;height:554.95pt;z-index:-251660800;mso-wrap-distance-left:0;mso-wrap-distance-right:0" filled="f" stroked="f">
            <v:textbox inset="0,0,0,0">
              <w:txbxContent>
                <w:p w14:paraId="21DA2DF9" w14:textId="77777777" w:rsidR="001866B6" w:rsidRDefault="001866B6"/>
              </w:txbxContent>
            </v:textbox>
          </v:shape>
        </w:pict>
      </w:r>
      <w:r w:rsidR="006C4BFC">
        <w:pict w14:anchorId="603EE5E0">
          <v:shape id="_x0000_s1032" type="#_x0000_t202" style="position:absolute;margin-left:0;margin-top:1.95pt;width:453.65pt;height:469.2pt;z-index:-251659776;mso-wrap-distance-left:0;mso-wrap-distance-right:0" filled="f" stroked="f">
            <v:textbox inset="0,0,0,0">
              <w:txbxContent>
                <w:p w14:paraId="28AC50F0" w14:textId="77777777" w:rsidR="007F5546" w:rsidRDefault="002D11AF">
                  <w:pPr>
                    <w:ind w:left="6"/>
                    <w:textAlignment w:val="baseline"/>
                  </w:pPr>
                  <w:r>
                    <w:rPr>
                      <w:noProof/>
                    </w:rPr>
                    <w:drawing>
                      <wp:inline distT="0" distB="0" distL="0" distR="0" wp14:anchorId="5B638BBB" wp14:editId="14F46991">
                        <wp:extent cx="5757545" cy="59588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1"/>
                                <a:stretch>
                                  <a:fillRect/>
                                </a:stretch>
                              </pic:blipFill>
                              <pic:spPr>
                                <a:xfrm>
                                  <a:off x="0" y="0"/>
                                  <a:ext cx="5757545" cy="5958840"/>
                                </a:xfrm>
                                <a:prstGeom prst="rect">
                                  <a:avLst/>
                                </a:prstGeom>
                              </pic:spPr>
                            </pic:pic>
                          </a:graphicData>
                        </a:graphic>
                      </wp:inline>
                    </w:drawing>
                  </w:r>
                </w:p>
              </w:txbxContent>
            </v:textbox>
          </v:shape>
        </w:pict>
      </w:r>
      <w:r w:rsidR="006C4BFC">
        <w:pict w14:anchorId="6805A4D4">
          <v:shape id="_x0000_s1031" type="#_x0000_t202" style="position:absolute;margin-left:.8pt;margin-top:0;width:451.2pt;height:29.7pt;z-index:-251658752;mso-wrap-distance-left:0;mso-wrap-distance-right:0" filled="f" stroked="f">
            <v:textbox inset="0,0,0,0">
              <w:txbxContent>
                <w:p w14:paraId="1055E4CA" w14:textId="77777777" w:rsidR="007F5546" w:rsidRDefault="002D11AF">
                  <w:pPr>
                    <w:spacing w:line="290" w:lineRule="exact"/>
                    <w:jc w:val="both"/>
                    <w:textAlignment w:val="baseline"/>
                    <w:rPr>
                      <w:rFonts w:ascii="Arial" w:eastAsia="Arial" w:hAnsi="Arial"/>
                      <w:color w:val="000000"/>
                      <w:sz w:val="24"/>
                    </w:rPr>
                  </w:pPr>
                  <w:r>
                    <w:rPr>
                      <w:rFonts w:ascii="Arial" w:eastAsia="Arial" w:hAnsi="Arial"/>
                      <w:color w:val="000000"/>
                      <w:sz w:val="24"/>
                    </w:rPr>
                    <w:t>There is no expectation that SEND Support Service representatives will attend termly review meetings for each child or young person in receipt of top-up funding.</w:t>
                  </w:r>
                </w:p>
              </w:txbxContent>
            </v:textbox>
          </v:shape>
        </w:pict>
      </w:r>
      <w:r w:rsidR="006C4BFC">
        <w:pict w14:anchorId="3B914CC8">
          <v:shape id="_x0000_s1030" type="#_x0000_t202" style="position:absolute;margin-left:.55pt;margin-top:47.5pt;width:451.45pt;height:77.05pt;z-index:-251657728;mso-wrap-distance-left:0;mso-wrap-distance-right:0" filled="f" stroked="f">
            <v:textbox inset="0,0,0,0">
              <w:txbxContent>
                <w:p w14:paraId="3301E9BC" w14:textId="77777777" w:rsidR="007F5546" w:rsidRDefault="002D11AF">
                  <w:pPr>
                    <w:spacing w:line="306" w:lineRule="exact"/>
                    <w:textAlignment w:val="baseline"/>
                    <w:rPr>
                      <w:rFonts w:ascii="Arial" w:eastAsia="Arial" w:hAnsi="Arial"/>
                      <w:color w:val="000000"/>
                      <w:sz w:val="24"/>
                    </w:rPr>
                  </w:pPr>
                  <w:r>
                    <w:rPr>
                      <w:rFonts w:ascii="Arial" w:eastAsia="Arial" w:hAnsi="Arial"/>
                      <w:color w:val="000000"/>
                      <w:sz w:val="24"/>
                    </w:rPr>
                    <w:t>Where there are concerns that the additional provision being funded is not supporting the child or young person to progress towards achieving their short-term outcomes, further actions will be set. These actions may include additional individual progress meetings, observations of provision being delivered or further involvement to inform relevance of provision.</w:t>
                  </w:r>
                </w:p>
              </w:txbxContent>
            </v:textbox>
          </v:shape>
        </w:pict>
      </w:r>
      <w:r w:rsidR="006C4BFC">
        <w:pict w14:anchorId="503B607C">
          <v:shape id="_x0000_s1029" type="#_x0000_t202" style="position:absolute;margin-left:.55pt;margin-top:142.8pt;width:449.75pt;height:127.2pt;z-index:-251656704;mso-wrap-distance-left:0;mso-wrap-distance-right:0" filled="f" stroked="f">
            <v:textbox inset="0,0,0,0">
              <w:txbxContent>
                <w:p w14:paraId="59151568" w14:textId="77777777" w:rsidR="007F5546" w:rsidRDefault="002D11AF">
                  <w:pPr>
                    <w:spacing w:before="2" w:line="272" w:lineRule="exact"/>
                    <w:textAlignment w:val="baseline"/>
                    <w:rPr>
                      <w:rFonts w:ascii="Arial" w:eastAsia="Arial" w:hAnsi="Arial"/>
                      <w:color w:val="000000"/>
                      <w:sz w:val="24"/>
                    </w:rPr>
                  </w:pPr>
                  <w:r>
                    <w:rPr>
                      <w:rFonts w:ascii="Arial" w:eastAsia="Arial" w:hAnsi="Arial"/>
                      <w:color w:val="000000"/>
                      <w:sz w:val="24"/>
                    </w:rPr>
                    <w:t>Where a CYP is in receipt of top-up funding and moves school or post-16 provider:</w:t>
                  </w:r>
                </w:p>
                <w:p w14:paraId="18E32681" w14:textId="77777777" w:rsidR="007F5546" w:rsidRDefault="002D11AF">
                  <w:pPr>
                    <w:numPr>
                      <w:ilvl w:val="0"/>
                      <w:numId w:val="1"/>
                    </w:numPr>
                    <w:tabs>
                      <w:tab w:val="clear" w:pos="360"/>
                      <w:tab w:val="left" w:pos="720"/>
                    </w:tabs>
                    <w:spacing w:before="14" w:line="317" w:lineRule="exact"/>
                    <w:ind w:left="720" w:right="72" w:hanging="360"/>
                    <w:textAlignment w:val="baseline"/>
                    <w:rPr>
                      <w:rFonts w:ascii="Arial" w:eastAsia="Arial" w:hAnsi="Arial"/>
                      <w:color w:val="000000"/>
                      <w:sz w:val="24"/>
                    </w:rPr>
                  </w:pPr>
                  <w:r>
                    <w:rPr>
                      <w:rFonts w:ascii="Arial" w:eastAsia="Arial" w:hAnsi="Arial"/>
                      <w:color w:val="000000"/>
                      <w:sz w:val="24"/>
                    </w:rPr>
                    <w:t xml:space="preserve">The school or post-16 provider is responsible for informing the LA as soon as they become </w:t>
                  </w:r>
                  <w:proofErr w:type="gramStart"/>
                  <w:r>
                    <w:rPr>
                      <w:rFonts w:ascii="Arial" w:eastAsia="Arial" w:hAnsi="Arial"/>
                      <w:color w:val="000000"/>
                      <w:sz w:val="24"/>
                    </w:rPr>
                    <w:t>aware</w:t>
                  </w:r>
                  <w:proofErr w:type="gramEnd"/>
                </w:p>
                <w:p w14:paraId="5D48CFAB" w14:textId="77777777" w:rsidR="007F5546" w:rsidRDefault="002D11AF">
                  <w:pPr>
                    <w:numPr>
                      <w:ilvl w:val="0"/>
                      <w:numId w:val="1"/>
                    </w:numPr>
                    <w:tabs>
                      <w:tab w:val="clear" w:pos="360"/>
                      <w:tab w:val="left" w:pos="720"/>
                    </w:tabs>
                    <w:spacing w:before="40" w:line="296" w:lineRule="exact"/>
                    <w:ind w:left="720" w:hanging="360"/>
                    <w:textAlignment w:val="baseline"/>
                    <w:rPr>
                      <w:rFonts w:ascii="Arial" w:eastAsia="Arial" w:hAnsi="Arial"/>
                      <w:color w:val="000000"/>
                      <w:sz w:val="24"/>
                    </w:rPr>
                  </w:pPr>
                  <w:r>
                    <w:rPr>
                      <w:rFonts w:ascii="Arial" w:eastAsia="Arial" w:hAnsi="Arial"/>
                      <w:color w:val="000000"/>
                      <w:sz w:val="24"/>
                    </w:rPr>
                    <w:t xml:space="preserve">Funding will cease and backdated to the time the pupil </w:t>
                  </w:r>
                  <w:proofErr w:type="gramStart"/>
                  <w:r>
                    <w:rPr>
                      <w:rFonts w:ascii="Arial" w:eastAsia="Arial" w:hAnsi="Arial"/>
                      <w:color w:val="000000"/>
                      <w:sz w:val="24"/>
                    </w:rPr>
                    <w:t>left</w:t>
                  </w:r>
                  <w:proofErr w:type="gramEnd"/>
                </w:p>
                <w:p w14:paraId="4D53C4C9" w14:textId="77777777" w:rsidR="007F5546" w:rsidRDefault="002D11AF">
                  <w:pPr>
                    <w:numPr>
                      <w:ilvl w:val="0"/>
                      <w:numId w:val="1"/>
                    </w:numPr>
                    <w:tabs>
                      <w:tab w:val="clear" w:pos="360"/>
                      <w:tab w:val="left" w:pos="720"/>
                    </w:tabs>
                    <w:spacing w:before="14" w:line="315" w:lineRule="exact"/>
                    <w:ind w:left="720" w:hanging="360"/>
                    <w:textAlignment w:val="baseline"/>
                    <w:rPr>
                      <w:rFonts w:ascii="Arial" w:eastAsia="Arial" w:hAnsi="Arial"/>
                      <w:color w:val="000000"/>
                      <w:sz w:val="24"/>
                    </w:rPr>
                  </w:pPr>
                  <w:r>
                    <w:rPr>
                      <w:rFonts w:ascii="Arial" w:eastAsia="Arial" w:hAnsi="Arial"/>
                      <w:color w:val="000000"/>
                      <w:sz w:val="24"/>
                    </w:rPr>
                    <w:t xml:space="preserve">Where the CYP moves to another school/post-16 setting, the new setting / school will be responsible for considering if top-up funding is required and make a request where applicable and in accordance with the guidance set out within this </w:t>
                  </w:r>
                  <w:proofErr w:type="gramStart"/>
                  <w:r>
                    <w:rPr>
                      <w:rFonts w:ascii="Arial" w:eastAsia="Arial" w:hAnsi="Arial"/>
                      <w:color w:val="000000"/>
                      <w:sz w:val="24"/>
                    </w:rPr>
                    <w:t>document</w:t>
                  </w:r>
                  <w:proofErr w:type="gramEnd"/>
                </w:p>
                <w:p w14:paraId="71F706DC" w14:textId="77777777" w:rsidR="001611C0" w:rsidRDefault="001611C0" w:rsidP="001611C0">
                  <w:pPr>
                    <w:tabs>
                      <w:tab w:val="left" w:pos="360"/>
                      <w:tab w:val="left" w:pos="720"/>
                    </w:tabs>
                    <w:spacing w:before="14" w:line="315" w:lineRule="exact"/>
                    <w:textAlignment w:val="baseline"/>
                    <w:rPr>
                      <w:rFonts w:ascii="Arial" w:eastAsia="Arial" w:hAnsi="Arial"/>
                      <w:color w:val="000000"/>
                      <w:sz w:val="24"/>
                    </w:rPr>
                  </w:pPr>
                </w:p>
                <w:p w14:paraId="0CC8D2E3" w14:textId="77777777" w:rsidR="001611C0" w:rsidRDefault="001611C0">
                  <w:pPr>
                    <w:numPr>
                      <w:ilvl w:val="0"/>
                      <w:numId w:val="1"/>
                    </w:numPr>
                    <w:tabs>
                      <w:tab w:val="clear" w:pos="360"/>
                      <w:tab w:val="left" w:pos="720"/>
                    </w:tabs>
                    <w:spacing w:before="14" w:line="315" w:lineRule="exact"/>
                    <w:ind w:left="720" w:hanging="360"/>
                    <w:textAlignment w:val="baseline"/>
                    <w:rPr>
                      <w:rFonts w:ascii="Arial" w:eastAsia="Arial" w:hAnsi="Arial"/>
                      <w:color w:val="000000"/>
                      <w:sz w:val="24"/>
                    </w:rPr>
                  </w:pPr>
                </w:p>
              </w:txbxContent>
            </v:textbox>
          </v:shape>
        </w:pict>
      </w:r>
      <w:r w:rsidR="006C4BFC">
        <w:pict w14:anchorId="10F147FF">
          <v:shape id="_x0000_s1028" type="#_x0000_t202" style="position:absolute;margin-left:.8pt;margin-top:348.7pt;width:51.6pt;height:17.6pt;z-index:-251655680;mso-wrap-distance-left:0;mso-wrap-distance-right:0" filled="f" stroked="f">
            <v:textbox inset="0,0,0,0">
              <w:txbxContent>
                <w:p w14:paraId="283A8141" w14:textId="77777777" w:rsidR="007F5546" w:rsidRDefault="002D11AF">
                  <w:pPr>
                    <w:spacing w:line="302" w:lineRule="exact"/>
                    <w:jc w:val="both"/>
                    <w:textAlignment w:val="baseline"/>
                    <w:rPr>
                      <w:rFonts w:ascii="Arial" w:eastAsia="Arial" w:hAnsi="Arial"/>
                      <w:b/>
                      <w:color w:val="000000"/>
                      <w:spacing w:val="-3"/>
                      <w:sz w:val="24"/>
                    </w:rPr>
                  </w:pPr>
                  <w:r>
                    <w:rPr>
                      <w:rFonts w:ascii="Arial" w:eastAsia="Arial" w:hAnsi="Arial"/>
                      <w:b/>
                      <w:color w:val="000000"/>
                      <w:spacing w:val="-3"/>
                      <w:sz w:val="24"/>
                    </w:rPr>
                    <w:t xml:space="preserve">See also: </w:t>
                  </w:r>
                </w:p>
              </w:txbxContent>
            </v:textbox>
          </v:shape>
        </w:pict>
      </w:r>
      <w:r w:rsidR="006C4BFC">
        <w:pict w14:anchorId="73980629">
          <v:shape id="_x0000_s1026" type="#_x0000_t202" style="position:absolute;margin-left:.8pt;margin-top:377.8pt;width:182.6pt;height:32.15pt;z-index:-251653632;mso-wrap-distance-left:0;mso-wrap-distance-right:0" filled="f" stroked="f">
            <v:textbox inset="0,0,0,0">
              <w:txbxContent>
                <w:p w14:paraId="7D1B7D62" w14:textId="77777777" w:rsidR="007F5546" w:rsidRDefault="002D11AF">
                  <w:pPr>
                    <w:spacing w:line="302" w:lineRule="exact"/>
                    <w:jc w:val="both"/>
                    <w:textAlignment w:val="baseline"/>
                    <w:rPr>
                      <w:rFonts w:ascii="Arial" w:eastAsia="Arial" w:hAnsi="Arial"/>
                      <w:color w:val="000000"/>
                      <w:spacing w:val="-3"/>
                      <w:sz w:val="24"/>
                    </w:rPr>
                  </w:pPr>
                  <w:r>
                    <w:rPr>
                      <w:rFonts w:ascii="Arial" w:eastAsia="Arial" w:hAnsi="Arial"/>
                      <w:color w:val="000000"/>
                      <w:spacing w:val="-3"/>
                      <w:sz w:val="24"/>
                    </w:rPr>
                    <w:t>Early years inclusion grant funding SEN Support Plans</w:t>
                  </w:r>
                </w:p>
              </w:txbxContent>
            </v:textbox>
          </v:shape>
        </w:pict>
      </w:r>
    </w:p>
    <w:p w14:paraId="171FEB70" w14:textId="329F4390" w:rsidR="007F5546" w:rsidRDefault="007F5546" w:rsidP="001611C0">
      <w:pPr>
        <w:spacing w:before="2" w:line="272" w:lineRule="exact"/>
        <w:textAlignment w:val="baseline"/>
        <w:rPr>
          <w:rFonts w:ascii="Arial" w:eastAsia="Arial" w:hAnsi="Arial"/>
          <w:color w:val="000000"/>
          <w:sz w:val="24"/>
        </w:rPr>
      </w:pPr>
    </w:p>
    <w:sectPr w:rsidR="007F5546">
      <w:type w:val="continuous"/>
      <w:pgSz w:w="11909" w:h="16838"/>
      <w:pgMar w:top="2060" w:right="1412" w:bottom="602"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0A85" w14:textId="77777777" w:rsidR="006C4BFC" w:rsidRDefault="006C4BFC">
      <w:r>
        <w:separator/>
      </w:r>
    </w:p>
  </w:endnote>
  <w:endnote w:type="continuationSeparator" w:id="0">
    <w:p w14:paraId="54D0AE49" w14:textId="77777777" w:rsidR="006C4BFC" w:rsidRDefault="006C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695564"/>
      <w:docPartObj>
        <w:docPartGallery w:val="Page Numbers (Bottom of Page)"/>
        <w:docPartUnique/>
      </w:docPartObj>
    </w:sdtPr>
    <w:sdtEndPr>
      <w:rPr>
        <w:noProof/>
      </w:rPr>
    </w:sdtEndPr>
    <w:sdtContent>
      <w:p w14:paraId="4F104434" w14:textId="78BFAE06" w:rsidR="001611C0" w:rsidRDefault="001611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B843A" w14:textId="77777777" w:rsidR="001611C0" w:rsidRDefault="0016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EDA9" w14:textId="77777777" w:rsidR="006C4BFC" w:rsidRDefault="006C4BFC"/>
  </w:footnote>
  <w:footnote w:type="continuationSeparator" w:id="0">
    <w:p w14:paraId="1423B4BC" w14:textId="77777777" w:rsidR="006C4BFC" w:rsidRDefault="006C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283F"/>
    <w:multiLevelType w:val="hybridMultilevel"/>
    <w:tmpl w:val="4F10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D1310B"/>
    <w:multiLevelType w:val="multilevel"/>
    <w:tmpl w:val="6256D1FC"/>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D359A4"/>
    <w:multiLevelType w:val="multilevel"/>
    <w:tmpl w:val="543048AA"/>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1628607">
    <w:abstractNumId w:val="2"/>
  </w:num>
  <w:num w:numId="2" w16cid:durableId="224414954">
    <w:abstractNumId w:val="1"/>
  </w:num>
  <w:num w:numId="3" w16cid:durableId="93185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46"/>
    <w:rsid w:val="001611C0"/>
    <w:rsid w:val="001866B6"/>
    <w:rsid w:val="001E05A1"/>
    <w:rsid w:val="002D11AF"/>
    <w:rsid w:val="00533E05"/>
    <w:rsid w:val="00617E11"/>
    <w:rsid w:val="00667DAC"/>
    <w:rsid w:val="006C4BFC"/>
    <w:rsid w:val="006E3FA4"/>
    <w:rsid w:val="007F5546"/>
    <w:rsid w:val="009B198E"/>
    <w:rsid w:val="00C63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F00B497"/>
  <w15:docId w15:val="{E89871D8-60AA-4059-8588-358E3E49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C0"/>
    <w:pPr>
      <w:tabs>
        <w:tab w:val="center" w:pos="4513"/>
        <w:tab w:val="right" w:pos="9026"/>
      </w:tabs>
    </w:pPr>
  </w:style>
  <w:style w:type="character" w:customStyle="1" w:styleId="HeaderChar">
    <w:name w:val="Header Char"/>
    <w:basedOn w:val="DefaultParagraphFont"/>
    <w:link w:val="Header"/>
    <w:uiPriority w:val="99"/>
    <w:rsid w:val="001611C0"/>
  </w:style>
  <w:style w:type="paragraph" w:styleId="Footer">
    <w:name w:val="footer"/>
    <w:basedOn w:val="Normal"/>
    <w:link w:val="FooterChar"/>
    <w:uiPriority w:val="99"/>
    <w:unhideWhenUsed/>
    <w:rsid w:val="001611C0"/>
    <w:pPr>
      <w:tabs>
        <w:tab w:val="center" w:pos="4513"/>
        <w:tab w:val="right" w:pos="9026"/>
      </w:tabs>
    </w:pPr>
  </w:style>
  <w:style w:type="character" w:customStyle="1" w:styleId="FooterChar">
    <w:name w:val="Footer Char"/>
    <w:basedOn w:val="DefaultParagraphFont"/>
    <w:link w:val="Footer"/>
    <w:uiPriority w:val="99"/>
    <w:rsid w:val="001611C0"/>
  </w:style>
  <w:style w:type="paragraph" w:styleId="ListParagraph">
    <w:name w:val="List Paragraph"/>
    <w:basedOn w:val="Normal"/>
    <w:uiPriority w:val="34"/>
    <w:qFormat/>
    <w:rsid w:val="00161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SENDsupport@mtilon-keynes.gov.uk"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mailto:SENDsupport@milton-keynes.gov.uk" TargetMode="External"/><Relationship Id="rId20"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ENDsupport@milton-keynes.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3926C796C119FA4FB1DEA5EAA0CE70B9" ma:contentTypeVersion="7" ma:contentTypeDescription="MKC Branded Excel Template Document" ma:contentTypeScope="" ma:versionID="51740bb765e92e2d45079e1153f81e7a">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Props1.xml><?xml version="1.0" encoding="utf-8"?>
<ds:datastoreItem xmlns:ds="http://schemas.openxmlformats.org/officeDocument/2006/customXml" ds:itemID="{F90D1CAF-B86D-4095-ACF0-ECCE94AB1C5A}">
  <ds:schemaRefs>
    <ds:schemaRef ds:uri="http://schemas.microsoft.com/sharepoint/v3/contenttype/forms"/>
  </ds:schemaRefs>
</ds:datastoreItem>
</file>

<file path=customXml/itemProps2.xml><?xml version="1.0" encoding="utf-8"?>
<ds:datastoreItem xmlns:ds="http://schemas.openxmlformats.org/officeDocument/2006/customXml" ds:itemID="{56B222B8-70E8-49F5-B673-46DEF8F2C4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3F3759-B56E-4337-808E-F4CF6F629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75FA80-A446-4B5C-A0FC-B62F866A6B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Bracey</dc:creator>
  <cp:lastModifiedBy>Nina Broderick</cp:lastModifiedBy>
  <cp:revision>2</cp:revision>
  <dcterms:created xsi:type="dcterms:W3CDTF">2024-01-04T15:26:00Z</dcterms:created>
  <dcterms:modified xsi:type="dcterms:W3CDTF">2024-01-04T15:26:00Z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0x01010054A39C6B0182D84CB6645B035BA02E08003926C796C119FA4FB1DEA5EAA0CE70B9</vt:lpwstr>
  </property>
  <property fmtid="{D5CDD505-2E9C-101B-9397-08002B2CF9AE}" pid="3" name="SharedWithUsers">
    <vt:lpwstr>72;#Nina Broderick</vt:lpwstr>
  </property>
</Properties>
</file>